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58D7D42B" w:rsidR="004413A6" w:rsidRPr="00FE43C2" w:rsidRDefault="00C65956" w:rsidP="00AD7FCE">
      <w:pPr>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1E4078">
        <w:rPr>
          <w:rFonts w:ascii="Arial" w:eastAsia="MS Mincho" w:hAnsi="Arial" w:cs="Arial"/>
          <w:b/>
          <w:bCs/>
          <w:lang w:eastAsia="ja-JP"/>
        </w:rPr>
        <w:t>8</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5757AA" w:rsidRPr="005757AA">
        <w:rPr>
          <w:rFonts w:ascii="Arial" w:eastAsia="MS Mincho" w:hAnsi="Arial" w:cs="Arial"/>
          <w:b/>
          <w:bCs/>
          <w:lang w:eastAsia="ja-JP"/>
        </w:rPr>
        <w:t>220</w:t>
      </w:r>
      <w:r w:rsidR="001C2B2A">
        <w:rPr>
          <w:rFonts w:ascii="Arial" w:eastAsia="MS Mincho" w:hAnsi="Arial" w:cs="Arial"/>
          <w:b/>
          <w:bCs/>
          <w:lang w:eastAsia="ja-JP"/>
        </w:rPr>
        <w:t>1768</w:t>
      </w:r>
    </w:p>
    <w:p w14:paraId="685A4FA6" w14:textId="7062468D"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1E4078">
        <w:rPr>
          <w:rFonts w:ascii="Arial" w:eastAsia="MS Mincho" w:hAnsi="Arial" w:cs="Arial"/>
          <w:b/>
          <w:bCs/>
          <w:lang w:eastAsia="ja-JP"/>
        </w:rPr>
        <w:t>Feb</w:t>
      </w:r>
      <w:r w:rsidR="00175509">
        <w:rPr>
          <w:rFonts w:ascii="Arial" w:eastAsia="MS Mincho" w:hAnsi="Arial" w:cs="Arial"/>
          <w:b/>
          <w:bCs/>
          <w:lang w:eastAsia="ja-JP"/>
        </w:rPr>
        <w:t>.</w:t>
      </w:r>
      <w:r w:rsidRPr="00FE43C2">
        <w:rPr>
          <w:rFonts w:ascii="Arial" w:eastAsia="MS Mincho" w:hAnsi="Arial" w:cs="Arial"/>
          <w:b/>
          <w:bCs/>
          <w:lang w:eastAsia="ja-JP"/>
        </w:rPr>
        <w:t xml:space="preserve"> </w:t>
      </w:r>
      <w:proofErr w:type="gramStart"/>
      <w:r w:rsidR="001E4078">
        <w:rPr>
          <w:rFonts w:ascii="Arial" w:eastAsia="MS Mincho" w:hAnsi="Arial" w:cs="Arial"/>
          <w:b/>
          <w:bCs/>
          <w:lang w:eastAsia="ja-JP"/>
        </w:rPr>
        <w:t>21</w:t>
      </w:r>
      <w:r w:rsidRPr="00FE43C2">
        <w:rPr>
          <w:rFonts w:ascii="Arial" w:eastAsia="MS Mincho" w:hAnsi="Arial" w:cs="Arial"/>
          <w:b/>
          <w:bCs/>
          <w:lang w:eastAsia="ja-JP"/>
        </w:rPr>
        <w:t>th</w:t>
      </w:r>
      <w:proofErr w:type="gramEnd"/>
      <w:r w:rsidRPr="00FE43C2">
        <w:rPr>
          <w:rFonts w:ascii="Arial" w:eastAsia="MS Mincho" w:hAnsi="Arial" w:cs="Arial"/>
          <w:b/>
          <w:bCs/>
          <w:lang w:eastAsia="ja-JP"/>
        </w:rPr>
        <w:t xml:space="preserve"> – </w:t>
      </w:r>
      <w:r w:rsidR="001E4078">
        <w:rPr>
          <w:rFonts w:ascii="Arial" w:eastAsia="MS Mincho" w:hAnsi="Arial" w:cs="Arial"/>
          <w:b/>
          <w:bCs/>
          <w:lang w:eastAsia="ja-JP"/>
        </w:rPr>
        <w:t>Mar</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1E4078">
        <w:rPr>
          <w:rFonts w:ascii="Arial" w:eastAsia="MS Mincho" w:hAnsi="Arial" w:cs="Arial"/>
          <w:b/>
          <w:bCs/>
          <w:lang w:eastAsia="ja-JP"/>
        </w:rPr>
        <w:t>3rd</w:t>
      </w:r>
      <w:r w:rsidRPr="00FE43C2">
        <w:rPr>
          <w:rFonts w:ascii="Arial" w:eastAsia="MS Mincho" w:hAnsi="Arial" w:cs="Arial"/>
          <w:b/>
          <w:bCs/>
          <w:lang w:eastAsia="ja-JP"/>
        </w:rPr>
        <w:t>,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CE3AD76" w:rsidR="004B5BF1" w:rsidRPr="004B5BF1" w:rsidRDefault="00B90144" w:rsidP="004B5BF1">
      <w:pPr>
        <w:pStyle w:val="3GPPHeader"/>
        <w:rPr>
          <w:sz w:val="22"/>
          <w:szCs w:val="22"/>
        </w:rPr>
      </w:pPr>
      <w:r w:rsidRPr="00315C6E">
        <w:rPr>
          <w:sz w:val="22"/>
          <w:szCs w:val="22"/>
        </w:rPr>
        <w:t>Title:</w:t>
      </w:r>
      <w:r w:rsidRPr="00315C6E">
        <w:rPr>
          <w:sz w:val="22"/>
          <w:szCs w:val="22"/>
        </w:rPr>
        <w:tab/>
      </w:r>
      <w:r w:rsidR="00140BF8">
        <w:rPr>
          <w:sz w:val="22"/>
          <w:szCs w:val="22"/>
        </w:rPr>
        <w:t>Remaining details on c</w:t>
      </w:r>
      <w:r w:rsidR="00353ED0">
        <w:rPr>
          <w:sz w:val="22"/>
          <w:szCs w:val="22"/>
        </w:rPr>
        <w:t xml:space="preserve">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B1E2BDF" w:rsidR="00C53A03" w:rsidRDefault="00876767"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2F10A42">
                <wp:simplePos x="0" y="0"/>
                <wp:positionH relativeFrom="column">
                  <wp:posOffset>0</wp:posOffset>
                </wp:positionH>
                <wp:positionV relativeFrom="paragraph">
                  <wp:posOffset>361950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28.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" fillcolor="white [3201]" strokeweight=".5pt">
                <v:textbo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9931F4" w:rsidR="00F952B0" w:rsidRDefault="00F952B0" w:rsidP="00C53A03">
      <w:pPr>
        <w:pStyle w:val="0Maintext"/>
        <w:spacing w:after="120" w:afterAutospacing="0" w:line="240" w:lineRule="auto"/>
        <w:ind w:firstLine="0"/>
      </w:pP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2B5692C2"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313AC0C2" w14:textId="7FBD5166" w:rsidR="00CF12D6" w:rsidRDefault="00140BF8" w:rsidP="001B5B76">
      <w:pPr>
        <w:pStyle w:val="Heading2"/>
        <w:numPr>
          <w:ilvl w:val="0"/>
          <w:numId w:val="0"/>
        </w:numPr>
        <w:rPr>
          <w:rFonts w:eastAsia="Times New Roman"/>
          <w:sz w:val="20"/>
          <w:szCs w:val="20"/>
        </w:rPr>
      </w:pPr>
      <w:r>
        <w:rPr>
          <w:rFonts w:eastAsia="Times New Roman"/>
          <w:sz w:val="20"/>
          <w:szCs w:val="20"/>
        </w:rPr>
        <w:t>It has been agreed that both LBT mode and non-LBT mode are supported in &gt;52.6GHz</w:t>
      </w:r>
      <w:r w:rsidR="00470069">
        <w:rPr>
          <w:rFonts w:eastAsia="Times New Roman"/>
          <w:sz w:val="20"/>
          <w:szCs w:val="20"/>
        </w:rPr>
        <w:t>. The non-LBT mode can be applied to region</w:t>
      </w:r>
      <w:r w:rsidR="008A0CC1">
        <w:rPr>
          <w:rFonts w:eastAsia="Times New Roman"/>
          <w:sz w:val="20"/>
          <w:szCs w:val="20"/>
        </w:rPr>
        <w:t>s</w:t>
      </w:r>
      <w:r w:rsidR="00470069">
        <w:rPr>
          <w:rFonts w:eastAsia="Times New Roman"/>
          <w:sz w:val="20"/>
          <w:szCs w:val="20"/>
        </w:rPr>
        <w:t xml:space="preserve"> where LBT is not mandated for unlicensed band access, or to licensed band. For LBT mode, the primary regulation in defined as EN 302 567 where </w:t>
      </w:r>
      <w:r w:rsidR="005D59DE">
        <w:rPr>
          <w:rFonts w:eastAsia="Times New Roman"/>
          <w:sz w:val="20"/>
          <w:szCs w:val="20"/>
        </w:rPr>
        <w:t>type 1</w:t>
      </w:r>
      <w:r w:rsidR="00470069">
        <w:rPr>
          <w:rFonts w:eastAsia="Times New Roman"/>
          <w:sz w:val="20"/>
          <w:szCs w:val="20"/>
        </w:rPr>
        <w:t xml:space="preserve"> channel access is defined with COT sharing and short control signaling </w:t>
      </w:r>
      <w:r w:rsidR="00F96E19">
        <w:rPr>
          <w:rFonts w:eastAsia="Times New Roman"/>
          <w:sz w:val="20"/>
          <w:szCs w:val="20"/>
        </w:rPr>
        <w:t>rules</w:t>
      </w:r>
      <w:r w:rsidR="00470069">
        <w:rPr>
          <w:rFonts w:eastAsia="Times New Roman"/>
          <w:sz w:val="20"/>
          <w:szCs w:val="20"/>
        </w:rPr>
        <w:t xml:space="preserve">. </w:t>
      </w:r>
    </w:p>
    <w:p w14:paraId="1F9DB533" w14:textId="1FB477B4" w:rsidR="00CF12D6" w:rsidRDefault="00CF12D6" w:rsidP="00CF12D6">
      <w:pPr>
        <w:pStyle w:val="Heading2"/>
        <w:numPr>
          <w:ilvl w:val="0"/>
          <w:numId w:val="0"/>
        </w:numPr>
        <w:rPr>
          <w:rFonts w:eastAsia="Times New Roman"/>
          <w:sz w:val="20"/>
          <w:szCs w:val="20"/>
        </w:rPr>
      </w:pPr>
      <w:r>
        <w:rPr>
          <w:rFonts w:eastAsia="Times New Roman"/>
          <w:sz w:val="20"/>
          <w:szCs w:val="20"/>
        </w:rPr>
        <w:t>I</w:t>
      </w:r>
      <w:r w:rsidR="00470069">
        <w:rPr>
          <w:rFonts w:eastAsia="Times New Roman"/>
          <w:sz w:val="20"/>
          <w:szCs w:val="20"/>
        </w:rPr>
        <w:t xml:space="preserve">n addition, </w:t>
      </w:r>
      <w:r w:rsidR="005D59DE">
        <w:rPr>
          <w:rFonts w:eastAsia="Times New Roman"/>
          <w:sz w:val="20"/>
          <w:szCs w:val="20"/>
        </w:rPr>
        <w:t>in Japan</w:t>
      </w:r>
      <w:r w:rsidR="00470069">
        <w:rPr>
          <w:rFonts w:eastAsia="Times New Roman"/>
          <w:sz w:val="20"/>
          <w:szCs w:val="20"/>
        </w:rPr>
        <w:t xml:space="preserve"> LBT is required before each transmission</w:t>
      </w:r>
      <w:r>
        <w:rPr>
          <w:rFonts w:eastAsia="Times New Roman"/>
          <w:sz w:val="20"/>
          <w:szCs w:val="20"/>
        </w:rPr>
        <w:t xml:space="preserve">, </w:t>
      </w:r>
      <w:r w:rsidR="005D59DE">
        <w:rPr>
          <w:rFonts w:eastAsia="Times New Roman"/>
          <w:sz w:val="20"/>
          <w:szCs w:val="20"/>
        </w:rPr>
        <w:t xml:space="preserve">as shown in the </w:t>
      </w:r>
      <w:r>
        <w:rPr>
          <w:rFonts w:eastAsia="Times New Roman"/>
          <w:sz w:val="20"/>
          <w:szCs w:val="20"/>
        </w:rPr>
        <w:t>regulation</w:t>
      </w:r>
      <w:r w:rsidR="005D59DE">
        <w:rPr>
          <w:rFonts w:eastAsia="Times New Roman"/>
          <w:sz w:val="20"/>
          <w:szCs w:val="20"/>
        </w:rPr>
        <w:t xml:space="preserve"> text which was </w:t>
      </w:r>
      <w:r>
        <w:rPr>
          <w:rFonts w:eastAsia="Times New Roman"/>
          <w:sz w:val="20"/>
          <w:szCs w:val="20"/>
        </w:rPr>
        <w:t xml:space="preserve">shared by Intel in </w:t>
      </w:r>
      <w:r w:rsidRPr="00CF12D6">
        <w:rPr>
          <w:rFonts w:eastAsia="Times New Roman"/>
          <w:sz w:val="20"/>
          <w:szCs w:val="20"/>
        </w:rPr>
        <w:t>RAN1 106bis-e</w:t>
      </w:r>
      <w:r>
        <w:rPr>
          <w:rFonts w:eastAsia="Times New Roman"/>
          <w:sz w:val="20"/>
          <w:szCs w:val="20"/>
        </w:rPr>
        <w:t xml:space="preserve"> email discussion</w:t>
      </w:r>
      <w:r w:rsidRPr="00CF12D6">
        <w:rPr>
          <w:rFonts w:eastAsia="Times New Roman"/>
          <w:sz w:val="20"/>
          <w:szCs w:val="20"/>
        </w:rPr>
        <w:t>.</w:t>
      </w:r>
    </w:p>
    <w:tbl>
      <w:tblPr>
        <w:tblStyle w:val="TableGrid"/>
        <w:tblW w:w="6224" w:type="dxa"/>
        <w:tblLayout w:type="fixed"/>
        <w:tblLook w:val="04A0" w:firstRow="1" w:lastRow="0" w:firstColumn="1" w:lastColumn="0" w:noHBand="0" w:noVBand="1"/>
      </w:tblPr>
      <w:tblGrid>
        <w:gridCol w:w="6224"/>
      </w:tblGrid>
      <w:tr w:rsidR="00CF12D6" w14:paraId="225D3A61" w14:textId="77777777" w:rsidTr="00411282">
        <w:trPr>
          <w:trHeight w:val="2624"/>
        </w:trPr>
        <w:tc>
          <w:tcPr>
            <w:tcW w:w="6224" w:type="dxa"/>
          </w:tcPr>
          <w:p w14:paraId="4169026F" w14:textId="77777777" w:rsidR="00CF12D6" w:rsidRDefault="00CF12D6" w:rsidP="00411282">
            <w:pPr>
              <w:pStyle w:val="ListParagraph"/>
              <w:widowControl w:val="0"/>
              <w:numPr>
                <w:ilvl w:val="0"/>
                <w:numId w:val="43"/>
              </w:numPr>
              <w:tabs>
                <w:tab w:val="left" w:pos="803"/>
              </w:tabs>
              <w:wordWrap w:val="0"/>
              <w:autoSpaceDE w:val="0"/>
              <w:autoSpaceDN w:val="0"/>
              <w:spacing w:before="89" w:line="280" w:lineRule="atLeast"/>
              <w:ind w:leftChars="0"/>
              <w:jc w:val="both"/>
              <w:outlineLvl w:val="2"/>
              <w:rPr>
                <w:rFonts w:eastAsia="MS Gothic"/>
                <w:b/>
                <w:sz w:val="16"/>
                <w:szCs w:val="16"/>
              </w:rPr>
            </w:pPr>
            <w:r>
              <w:rPr>
                <w:b/>
                <w:sz w:val="16"/>
                <w:szCs w:val="16"/>
                <w:lang w:val="en"/>
              </w:rPr>
              <w:t>Interference mitigation function</w:t>
            </w:r>
          </w:p>
          <w:p w14:paraId="748F2753" w14:textId="77777777" w:rsidR="00CF12D6" w:rsidRDefault="00CF12D6" w:rsidP="00411282">
            <w:pPr>
              <w:pStyle w:val="ListParagraph"/>
              <w:widowControl w:val="0"/>
              <w:numPr>
                <w:ilvl w:val="0"/>
                <w:numId w:val="43"/>
              </w:numPr>
              <w:wordWrap w:val="0"/>
              <w:autoSpaceDE w:val="0"/>
              <w:autoSpaceDN w:val="0"/>
              <w:spacing w:before="114" w:line="280" w:lineRule="atLeast"/>
              <w:ind w:leftChars="0"/>
              <w:jc w:val="both"/>
              <w:rPr>
                <w:sz w:val="12"/>
                <w:szCs w:val="16"/>
                <w:lang w:val="en"/>
              </w:rPr>
            </w:pPr>
            <w:r>
              <w:rPr>
                <w:sz w:val="12"/>
                <w:szCs w:val="16"/>
                <w:lang w:val="en"/>
              </w:rPr>
              <w:t>Sending and receiving identification signals</w:t>
            </w:r>
          </w:p>
          <w:p w14:paraId="32E4A000" w14:textId="77777777" w:rsidR="00CF12D6" w:rsidRDefault="00CF12D6" w:rsidP="00411282">
            <w:pPr>
              <w:pStyle w:val="ListParagraph"/>
              <w:numPr>
                <w:ilvl w:val="0"/>
                <w:numId w:val="43"/>
              </w:numPr>
              <w:kinsoku w:val="0"/>
              <w:wordWrap w:val="0"/>
              <w:overflowPunct w:val="0"/>
              <w:adjustRightInd w:val="0"/>
              <w:spacing w:after="60" w:line="259" w:lineRule="auto"/>
              <w:ind w:leftChars="0"/>
              <w:jc w:val="both"/>
              <w:textAlignment w:val="baseline"/>
              <w:rPr>
                <w:sz w:val="12"/>
                <w:szCs w:val="14"/>
              </w:rPr>
            </w:pPr>
            <w:r>
              <w:rPr>
                <w:sz w:val="12"/>
                <w:szCs w:val="14"/>
              </w:rPr>
              <w:t>(Enforcement Article 6-2)</w:t>
            </w:r>
          </w:p>
          <w:p w14:paraId="07DAFBCA" w14:textId="77777777" w:rsidR="00CF12D6" w:rsidRDefault="00CF12D6" w:rsidP="00411282">
            <w:pPr>
              <w:pStyle w:val="ListParagraph"/>
              <w:numPr>
                <w:ilvl w:val="0"/>
                <w:numId w:val="43"/>
              </w:numPr>
              <w:kinsoku w:val="0"/>
              <w:wordWrap w:val="0"/>
              <w:overflowPunct w:val="0"/>
              <w:adjustRightInd w:val="0"/>
              <w:spacing w:after="60" w:line="259" w:lineRule="auto"/>
              <w:ind w:leftChars="0"/>
              <w:jc w:val="both"/>
              <w:textAlignment w:val="baseline"/>
              <w:rPr>
                <w:sz w:val="12"/>
                <w:szCs w:val="14"/>
              </w:rPr>
            </w:pPr>
            <w:r>
              <w:rPr>
                <w:sz w:val="12"/>
                <w:szCs w:val="14"/>
              </w:rPr>
              <w:t>(Facilities Article 9-4)</w:t>
            </w:r>
          </w:p>
          <w:p w14:paraId="76FA3B69" w14:textId="77777777" w:rsidR="00CF12D6" w:rsidRDefault="00CF12D6" w:rsidP="00411282">
            <w:pPr>
              <w:pStyle w:val="ListParagraph"/>
              <w:numPr>
                <w:ilvl w:val="0"/>
                <w:numId w:val="43"/>
              </w:numPr>
              <w:kinsoku w:val="0"/>
              <w:wordWrap w:val="0"/>
              <w:overflowPunct w:val="0"/>
              <w:adjustRightInd w:val="0"/>
              <w:spacing w:after="60" w:line="259" w:lineRule="auto"/>
              <w:ind w:leftChars="0"/>
              <w:jc w:val="both"/>
              <w:textAlignment w:val="baseline"/>
              <w:rPr>
                <w:sz w:val="12"/>
                <w:szCs w:val="14"/>
              </w:rPr>
            </w:pPr>
            <w:r>
              <w:rPr>
                <w:sz w:val="12"/>
                <w:szCs w:val="14"/>
              </w:rPr>
              <w:t>Shall automatically transmit or receive identification codes.</w:t>
            </w:r>
          </w:p>
          <w:p w14:paraId="78C632D6" w14:textId="77777777" w:rsidR="00CF12D6" w:rsidRDefault="00CF12D6" w:rsidP="00411282">
            <w:pPr>
              <w:pStyle w:val="ListParagraph"/>
              <w:widowControl w:val="0"/>
              <w:numPr>
                <w:ilvl w:val="0"/>
                <w:numId w:val="43"/>
              </w:numPr>
              <w:wordWrap w:val="0"/>
              <w:autoSpaceDE w:val="0"/>
              <w:autoSpaceDN w:val="0"/>
              <w:spacing w:before="114" w:line="280" w:lineRule="atLeast"/>
              <w:ind w:leftChars="0"/>
              <w:jc w:val="both"/>
              <w:rPr>
                <w:sz w:val="12"/>
                <w:szCs w:val="16"/>
                <w:lang w:val="en"/>
              </w:rPr>
            </w:pPr>
            <w:r>
              <w:rPr>
                <w:sz w:val="12"/>
                <w:szCs w:val="16"/>
                <w:lang w:val="en"/>
              </w:rPr>
              <w:t>Carrier Sense</w:t>
            </w:r>
          </w:p>
          <w:p w14:paraId="66993A25" w14:textId="77777777" w:rsidR="00CF12D6" w:rsidRDefault="00CF12D6" w:rsidP="00411282">
            <w:pPr>
              <w:pStyle w:val="ListParagraph"/>
              <w:numPr>
                <w:ilvl w:val="0"/>
                <w:numId w:val="43"/>
              </w:numPr>
              <w:kinsoku w:val="0"/>
              <w:wordWrap w:val="0"/>
              <w:overflowPunct w:val="0"/>
              <w:adjustRightInd w:val="0"/>
              <w:spacing w:after="60" w:line="259" w:lineRule="auto"/>
              <w:ind w:leftChars="0"/>
              <w:jc w:val="both"/>
              <w:textAlignment w:val="baseline"/>
              <w:rPr>
                <w:sz w:val="12"/>
                <w:szCs w:val="14"/>
              </w:rPr>
            </w:pPr>
            <w:r>
              <w:rPr>
                <w:sz w:val="12"/>
                <w:szCs w:val="14"/>
              </w:rPr>
              <w:t>(Facilities Article 49-20)</w:t>
            </w:r>
          </w:p>
          <w:p w14:paraId="1F5887C4" w14:textId="77777777" w:rsidR="00CF12D6" w:rsidRDefault="00CF12D6" w:rsidP="00411282">
            <w:pPr>
              <w:pStyle w:val="ListParagraph"/>
              <w:numPr>
                <w:ilvl w:val="0"/>
                <w:numId w:val="43"/>
              </w:numPr>
              <w:kinsoku w:val="0"/>
              <w:wordWrap w:val="0"/>
              <w:overflowPunct w:val="0"/>
              <w:adjustRightInd w:val="0"/>
              <w:spacing w:after="60" w:line="259" w:lineRule="auto"/>
              <w:ind w:leftChars="0"/>
              <w:jc w:val="both"/>
              <w:textAlignment w:val="baseline"/>
            </w:pPr>
            <w:r>
              <w:rPr>
                <w:sz w:val="12"/>
                <w:szCs w:val="14"/>
                <w:highlight w:val="yellow"/>
              </w:rPr>
              <w:t xml:space="preserve">If the transmission power of the transmitter exceeds 10 </w:t>
            </w:r>
            <w:proofErr w:type="spellStart"/>
            <w:r>
              <w:rPr>
                <w:sz w:val="12"/>
                <w:szCs w:val="14"/>
                <w:highlight w:val="yellow"/>
              </w:rPr>
              <w:t>mW</w:t>
            </w:r>
            <w:proofErr w:type="spellEnd"/>
            <w:r>
              <w:rPr>
                <w:sz w:val="12"/>
                <w:szCs w:val="14"/>
                <w:highlight w:val="yellow"/>
              </w:rPr>
              <w:t>, provide a carrier sense that will operate at beginning of the transmission.</w:t>
            </w:r>
          </w:p>
        </w:tc>
      </w:tr>
    </w:tbl>
    <w:p w14:paraId="4721B082" w14:textId="77777777" w:rsidR="005D59DE" w:rsidRDefault="005D59DE" w:rsidP="00CF12D6">
      <w:pPr>
        <w:rPr>
          <w:sz w:val="20"/>
          <w:szCs w:val="20"/>
        </w:rPr>
      </w:pPr>
    </w:p>
    <w:p w14:paraId="155D946C" w14:textId="6960F19B" w:rsidR="00CF12D6" w:rsidRDefault="00CF12D6" w:rsidP="00CF12D6">
      <w:pPr>
        <w:rPr>
          <w:sz w:val="20"/>
          <w:szCs w:val="20"/>
        </w:rPr>
      </w:pPr>
      <w:r>
        <w:rPr>
          <w:sz w:val="20"/>
          <w:szCs w:val="20"/>
        </w:rPr>
        <w:t xml:space="preserve">The rule also been commented by Docomo during RAN1 106e email discussion. </w:t>
      </w:r>
    </w:p>
    <w:p w14:paraId="72DAC3A5" w14:textId="152707A9" w:rsidR="00CF12D6" w:rsidRPr="00CF12D6" w:rsidRDefault="00CF12D6" w:rsidP="00CF12D6">
      <w:pPr>
        <w:rPr>
          <w:sz w:val="20"/>
          <w:szCs w:val="20"/>
        </w:rPr>
      </w:pPr>
      <w:r w:rsidRPr="00CF12D6">
        <w:rPr>
          <w:sz w:val="20"/>
          <w:szCs w:val="20"/>
        </w:rPr>
        <w:lastRenderedPageBreak/>
        <w:t xml:space="preserve">“To clarify, in Japan, sensing is always necessary to initiate any transmission with power above 10 </w:t>
      </w:r>
      <w:proofErr w:type="spellStart"/>
      <w:r w:rsidRPr="00CF12D6">
        <w:rPr>
          <w:sz w:val="20"/>
          <w:szCs w:val="20"/>
        </w:rPr>
        <w:t>mW</w:t>
      </w:r>
      <w:proofErr w:type="spellEnd"/>
      <w:r w:rsidRPr="00CF12D6">
        <w:rPr>
          <w:sz w:val="20"/>
          <w:szCs w:val="20"/>
        </w:rPr>
        <w:t>, while no clear definition of “sensing” in the regulation, including whether COT sharing without sensing is allowed or not and how long gap is allowed for the COT sharing without sensing.</w:t>
      </w:r>
      <w:r w:rsidRPr="00CF12D6">
        <w:rPr>
          <w:rFonts w:hint="eastAsia"/>
          <w:sz w:val="20"/>
          <w:szCs w:val="20"/>
        </w:rPr>
        <w:t xml:space="preserve"> </w:t>
      </w:r>
      <w:r w:rsidRPr="00CF12D6">
        <w:rPr>
          <w:sz w:val="20"/>
          <w:szCs w:val="20"/>
        </w:rPr>
        <w:t xml:space="preserve">Therefore, even if max. gap is defined for COT sharing without sensing, it does not comply with current Japanese regulation for transmission with power above 10 </w:t>
      </w:r>
      <w:proofErr w:type="spellStart"/>
      <w:r w:rsidRPr="00CF12D6">
        <w:rPr>
          <w:sz w:val="20"/>
          <w:szCs w:val="20"/>
        </w:rPr>
        <w:t>mW</w:t>
      </w:r>
      <w:proofErr w:type="spellEnd"/>
      <w:r w:rsidRPr="00CF12D6">
        <w:rPr>
          <w:rFonts w:hint="eastAsia"/>
          <w:sz w:val="20"/>
          <w:szCs w:val="20"/>
        </w:rPr>
        <w:t>.</w:t>
      </w:r>
      <w:r w:rsidRPr="00CF12D6">
        <w:rPr>
          <w:sz w:val="20"/>
          <w:szCs w:val="20"/>
        </w:rPr>
        <w:t>”</w:t>
      </w:r>
    </w:p>
    <w:p w14:paraId="71DD00C3" w14:textId="78FF8D5A" w:rsidR="001E4078" w:rsidRDefault="001E4078" w:rsidP="001B5B76">
      <w:pPr>
        <w:pStyle w:val="Heading2"/>
        <w:numPr>
          <w:ilvl w:val="0"/>
          <w:numId w:val="0"/>
        </w:numPr>
        <w:rPr>
          <w:rFonts w:eastAsia="Times New Roman"/>
          <w:sz w:val="20"/>
          <w:szCs w:val="20"/>
        </w:rPr>
      </w:pPr>
      <w:r>
        <w:rPr>
          <w:rFonts w:eastAsia="Times New Roman"/>
          <w:sz w:val="20"/>
          <w:szCs w:val="20"/>
        </w:rPr>
        <w:t xml:space="preserve">In 107bis-e discussion, several open issues are related to the regulation where </w:t>
      </w:r>
      <w:r w:rsidR="00B64E0D">
        <w:rPr>
          <w:rFonts w:eastAsia="Times New Roman"/>
          <w:sz w:val="20"/>
          <w:szCs w:val="20"/>
        </w:rPr>
        <w:t>LBT</w:t>
      </w:r>
      <w:r>
        <w:rPr>
          <w:rFonts w:eastAsia="Times New Roman"/>
          <w:sz w:val="20"/>
          <w:szCs w:val="20"/>
        </w:rPr>
        <w:t xml:space="preserve"> is required before each transmission and either type 1 or type 2 LBT can be applied. These items including: </w:t>
      </w:r>
    </w:p>
    <w:p w14:paraId="69CEFDA2" w14:textId="77777777" w:rsidR="001E4078" w:rsidRDefault="001E4078" w:rsidP="00424681">
      <w:pPr>
        <w:pStyle w:val="Heading2"/>
        <w:numPr>
          <w:ilvl w:val="0"/>
          <w:numId w:val="44"/>
        </w:numPr>
        <w:spacing w:before="100" w:beforeAutospacing="1" w:after="100" w:afterAutospacing="1"/>
        <w:ind w:left="763"/>
        <w:rPr>
          <w:rFonts w:eastAsia="Times New Roman"/>
          <w:sz w:val="20"/>
          <w:szCs w:val="20"/>
        </w:rPr>
      </w:pPr>
      <w:r>
        <w:rPr>
          <w:rFonts w:eastAsia="Times New Roman"/>
          <w:sz w:val="20"/>
          <w:szCs w:val="20"/>
        </w:rPr>
        <w:t xml:space="preserve">Whether LBT is required before Msg 1 and Msg A transmission. </w:t>
      </w:r>
    </w:p>
    <w:p w14:paraId="3F927B0F" w14:textId="654EA06F" w:rsidR="001E4078" w:rsidRDefault="001E4078" w:rsidP="00424681">
      <w:pPr>
        <w:pStyle w:val="Heading2"/>
        <w:numPr>
          <w:ilvl w:val="0"/>
          <w:numId w:val="44"/>
        </w:numPr>
        <w:spacing w:before="100" w:beforeAutospacing="1" w:after="100" w:afterAutospacing="1"/>
        <w:ind w:left="763"/>
        <w:rPr>
          <w:rFonts w:eastAsia="Times New Roman"/>
          <w:sz w:val="20"/>
          <w:szCs w:val="20"/>
        </w:rPr>
      </w:pPr>
      <w:r>
        <w:rPr>
          <w:rFonts w:eastAsia="Times New Roman"/>
          <w:sz w:val="20"/>
          <w:szCs w:val="20"/>
        </w:rPr>
        <w:t xml:space="preserve">Whether 1 bit or 2 bits channel access indication is included in the </w:t>
      </w:r>
      <w:proofErr w:type="spellStart"/>
      <w:r w:rsidR="006B5906">
        <w:rPr>
          <w:rFonts w:eastAsia="Times New Roman"/>
          <w:sz w:val="20"/>
          <w:szCs w:val="20"/>
        </w:rPr>
        <w:t>fall-back</w:t>
      </w:r>
      <w:proofErr w:type="spellEnd"/>
      <w:r>
        <w:rPr>
          <w:rFonts w:eastAsia="Times New Roman"/>
          <w:sz w:val="20"/>
          <w:szCs w:val="20"/>
        </w:rPr>
        <w:t xml:space="preserve"> DCI. </w:t>
      </w:r>
    </w:p>
    <w:p w14:paraId="79481C5F" w14:textId="63B01F4D" w:rsidR="001E4078" w:rsidRDefault="001E4078" w:rsidP="00424681">
      <w:pPr>
        <w:pStyle w:val="Heading2"/>
        <w:numPr>
          <w:ilvl w:val="0"/>
          <w:numId w:val="44"/>
        </w:numPr>
        <w:spacing w:before="100" w:beforeAutospacing="1" w:after="100" w:afterAutospacing="1"/>
        <w:ind w:left="763"/>
        <w:rPr>
          <w:rFonts w:eastAsia="Times New Roman"/>
          <w:sz w:val="20"/>
          <w:szCs w:val="20"/>
        </w:rPr>
      </w:pPr>
      <w:r>
        <w:rPr>
          <w:rFonts w:eastAsia="Times New Roman"/>
          <w:sz w:val="20"/>
          <w:szCs w:val="20"/>
        </w:rPr>
        <w:t xml:space="preserve">LBT upgrade within COT </w:t>
      </w:r>
    </w:p>
    <w:p w14:paraId="27840056" w14:textId="7D2EF5B3" w:rsidR="00BC5E4B" w:rsidRDefault="00B64E0D" w:rsidP="00BC5E4B">
      <w:pPr>
        <w:pStyle w:val="Heading2"/>
        <w:numPr>
          <w:ilvl w:val="0"/>
          <w:numId w:val="0"/>
        </w:numPr>
        <w:rPr>
          <w:rFonts w:eastAsia="Times New Roman"/>
          <w:sz w:val="20"/>
          <w:szCs w:val="20"/>
        </w:rPr>
      </w:pPr>
      <w:r>
        <w:rPr>
          <w:rFonts w:eastAsia="Times New Roman"/>
          <w:sz w:val="20"/>
          <w:szCs w:val="20"/>
        </w:rPr>
        <w:t xml:space="preserve">In our view, </w:t>
      </w:r>
      <w:proofErr w:type="gramStart"/>
      <w:r>
        <w:rPr>
          <w:rFonts w:eastAsia="Times New Roman"/>
          <w:sz w:val="20"/>
          <w:szCs w:val="20"/>
        </w:rPr>
        <w:t>one bit</w:t>
      </w:r>
      <w:proofErr w:type="gramEnd"/>
      <w:r>
        <w:rPr>
          <w:rFonts w:eastAsia="Times New Roman"/>
          <w:sz w:val="20"/>
          <w:szCs w:val="20"/>
        </w:rPr>
        <w:t xml:space="preserve"> SIB1 signaling indicating that LBT is required before all transmission can solve all the questions with much lower signaling overhead. </w:t>
      </w:r>
      <w:r w:rsidR="00BC5E4B">
        <w:rPr>
          <w:rFonts w:eastAsia="Times New Roman"/>
          <w:sz w:val="20"/>
          <w:szCs w:val="20"/>
        </w:rPr>
        <w:t>Th</w:t>
      </w:r>
      <w:r w:rsidR="00BC5E4B">
        <w:rPr>
          <w:rFonts w:eastAsia="Times New Roman"/>
          <w:sz w:val="20"/>
          <w:szCs w:val="20"/>
        </w:rPr>
        <w:t>e proposed</w:t>
      </w:r>
      <w:r w:rsidR="00BC5E4B">
        <w:rPr>
          <w:rFonts w:eastAsia="Times New Roman"/>
          <w:sz w:val="20"/>
          <w:szCs w:val="20"/>
        </w:rPr>
        <w:t xml:space="preserve"> indication is </w:t>
      </w:r>
      <w:proofErr w:type="gramStart"/>
      <w:r w:rsidR="00BC5E4B">
        <w:rPr>
          <w:rFonts w:eastAsia="Times New Roman"/>
          <w:sz w:val="20"/>
          <w:szCs w:val="20"/>
        </w:rPr>
        <w:t>similar to</w:t>
      </w:r>
      <w:proofErr w:type="gramEnd"/>
      <w:r w:rsidR="00BC5E4B">
        <w:rPr>
          <w:rFonts w:eastAsia="Times New Roman"/>
          <w:sz w:val="20"/>
          <w:szCs w:val="20"/>
        </w:rPr>
        <w:t xml:space="preserve"> the LBE or FBE indication </w:t>
      </w:r>
      <w:r w:rsidR="00BC5E4B">
        <w:rPr>
          <w:rFonts w:eastAsia="Times New Roman"/>
          <w:sz w:val="20"/>
          <w:szCs w:val="20"/>
        </w:rPr>
        <w:t xml:space="preserve">in NR-U where different </w:t>
      </w:r>
      <w:r w:rsidR="00BC5E4B">
        <w:rPr>
          <w:rFonts w:eastAsia="Times New Roman"/>
          <w:sz w:val="20"/>
          <w:szCs w:val="20"/>
        </w:rPr>
        <w:t>LBT requirements</w:t>
      </w:r>
      <w:r w:rsidR="00BC5E4B">
        <w:rPr>
          <w:rFonts w:eastAsia="Times New Roman"/>
          <w:sz w:val="20"/>
          <w:szCs w:val="20"/>
        </w:rPr>
        <w:t xml:space="preserve"> applies</w:t>
      </w:r>
      <w:r w:rsidR="00BC5E4B">
        <w:rPr>
          <w:rFonts w:eastAsia="Times New Roman"/>
          <w:sz w:val="20"/>
          <w:szCs w:val="20"/>
        </w:rPr>
        <w:t xml:space="preserve">.  </w:t>
      </w:r>
    </w:p>
    <w:p w14:paraId="6625083B" w14:textId="0A927DD2" w:rsidR="00B64E0D" w:rsidRPr="00424681" w:rsidRDefault="00B64E0D" w:rsidP="001B5B76">
      <w:pPr>
        <w:pStyle w:val="Heading2"/>
        <w:numPr>
          <w:ilvl w:val="0"/>
          <w:numId w:val="0"/>
        </w:numPr>
        <w:rPr>
          <w:rFonts w:eastAsia="Times New Roman"/>
          <w:sz w:val="20"/>
          <w:szCs w:val="20"/>
        </w:rPr>
      </w:pPr>
      <w:r>
        <w:rPr>
          <w:rFonts w:eastAsia="Times New Roman"/>
          <w:sz w:val="20"/>
          <w:szCs w:val="20"/>
        </w:rPr>
        <w:t xml:space="preserve">We list the current </w:t>
      </w:r>
      <w:r w:rsidR="00BC5E4B">
        <w:rPr>
          <w:rFonts w:eastAsia="Times New Roman"/>
          <w:sz w:val="20"/>
          <w:szCs w:val="20"/>
        </w:rPr>
        <w:t>alternative solutions</w:t>
      </w:r>
      <w:r>
        <w:rPr>
          <w:rFonts w:eastAsia="Times New Roman"/>
          <w:sz w:val="20"/>
          <w:szCs w:val="20"/>
        </w:rPr>
        <w:t xml:space="preserve"> under discussion in the table </w:t>
      </w:r>
      <w:r w:rsidR="00BC5E4B">
        <w:rPr>
          <w:rFonts w:eastAsia="Times New Roman"/>
          <w:sz w:val="20"/>
          <w:szCs w:val="20"/>
        </w:rPr>
        <w:t>I. We</w:t>
      </w:r>
      <w:r w:rsidR="006B5906">
        <w:rPr>
          <w:rFonts w:eastAsia="Times New Roman"/>
          <w:sz w:val="20"/>
          <w:szCs w:val="20"/>
        </w:rPr>
        <w:t xml:space="preserve"> compare behavior and overhead of each approach. Alternative 1 provide a more </w:t>
      </w:r>
      <w:r w:rsidR="00BC5E4B">
        <w:rPr>
          <w:rFonts w:eastAsia="Times New Roman"/>
          <w:sz w:val="20"/>
          <w:szCs w:val="20"/>
        </w:rPr>
        <w:t>efficient signaling in SIB</w:t>
      </w:r>
      <w:r w:rsidR="006B5906">
        <w:rPr>
          <w:rFonts w:eastAsia="Times New Roman"/>
          <w:sz w:val="20"/>
          <w:szCs w:val="20"/>
        </w:rPr>
        <w:t>,</w:t>
      </w:r>
      <w:r w:rsidR="00BC5E4B">
        <w:rPr>
          <w:rFonts w:eastAsia="Times New Roman"/>
          <w:sz w:val="20"/>
          <w:szCs w:val="20"/>
        </w:rPr>
        <w:t xml:space="preserve"> and more importantly </w:t>
      </w:r>
      <w:r w:rsidR="006B5906">
        <w:rPr>
          <w:rFonts w:eastAsia="Times New Roman"/>
          <w:sz w:val="20"/>
          <w:szCs w:val="20"/>
        </w:rPr>
        <w:t xml:space="preserve">lower DCI overhead, </w:t>
      </w:r>
      <w:r w:rsidR="00103450">
        <w:rPr>
          <w:rFonts w:eastAsia="Times New Roman"/>
          <w:sz w:val="20"/>
          <w:szCs w:val="20"/>
        </w:rPr>
        <w:t>without losing any flexibility</w:t>
      </w:r>
      <w:r w:rsidR="006B5906">
        <w:rPr>
          <w:rFonts w:eastAsia="Times New Roman"/>
          <w:sz w:val="20"/>
          <w:szCs w:val="20"/>
        </w:rPr>
        <w:t xml:space="preserve"> or performance</w:t>
      </w:r>
      <w:r w:rsidR="00103450">
        <w:rPr>
          <w:rFonts w:eastAsia="Times New Roman"/>
          <w:sz w:val="20"/>
          <w:szCs w:val="20"/>
        </w:rPr>
        <w:t xml:space="preserve">. </w:t>
      </w:r>
      <w:r>
        <w:rPr>
          <w:rFonts w:eastAsia="Times New Roman"/>
          <w:sz w:val="20"/>
          <w:szCs w:val="20"/>
        </w:rPr>
        <w:t xml:space="preserve"> </w:t>
      </w:r>
    </w:p>
    <w:p w14:paraId="7E53984B" w14:textId="2D135CE3" w:rsidR="00424681" w:rsidRPr="00424681" w:rsidRDefault="00424681" w:rsidP="00424681">
      <w:pPr>
        <w:jc w:val="center"/>
        <w:rPr>
          <w:sz w:val="20"/>
          <w:szCs w:val="20"/>
        </w:rPr>
      </w:pPr>
      <w:r w:rsidRPr="00424681">
        <w:rPr>
          <w:sz w:val="20"/>
          <w:szCs w:val="20"/>
        </w:rPr>
        <w:t>Table I: Comparison of different signaling alternative</w:t>
      </w:r>
      <w:r w:rsidR="002B2B33">
        <w:rPr>
          <w:sz w:val="20"/>
          <w:szCs w:val="20"/>
        </w:rPr>
        <w:t>s</w:t>
      </w:r>
    </w:p>
    <w:tbl>
      <w:tblPr>
        <w:tblStyle w:val="TableGrid"/>
        <w:tblW w:w="0" w:type="auto"/>
        <w:tblLook w:val="04A0" w:firstRow="1" w:lastRow="0" w:firstColumn="1" w:lastColumn="0" w:noHBand="0" w:noVBand="1"/>
      </w:tblPr>
      <w:tblGrid>
        <w:gridCol w:w="1705"/>
        <w:gridCol w:w="3960"/>
        <w:gridCol w:w="3345"/>
      </w:tblGrid>
      <w:tr w:rsidR="00B64E0D" w14:paraId="0C69C2DF" w14:textId="77777777" w:rsidTr="00424681">
        <w:tc>
          <w:tcPr>
            <w:tcW w:w="1705" w:type="dxa"/>
          </w:tcPr>
          <w:p w14:paraId="5457FA37" w14:textId="77777777" w:rsidR="00B64E0D" w:rsidRDefault="00B64E0D" w:rsidP="001B5B76">
            <w:pPr>
              <w:pStyle w:val="Heading2"/>
              <w:numPr>
                <w:ilvl w:val="0"/>
                <w:numId w:val="0"/>
              </w:numPr>
              <w:rPr>
                <w:rFonts w:eastAsia="Times New Roman"/>
                <w:sz w:val="20"/>
                <w:szCs w:val="20"/>
              </w:rPr>
            </w:pPr>
          </w:p>
        </w:tc>
        <w:tc>
          <w:tcPr>
            <w:tcW w:w="3960" w:type="dxa"/>
          </w:tcPr>
          <w:p w14:paraId="4E26E9BE" w14:textId="6CC99F37" w:rsidR="00B64E0D" w:rsidRDefault="00B64E0D" w:rsidP="001B5B76">
            <w:pPr>
              <w:pStyle w:val="Heading2"/>
              <w:numPr>
                <w:ilvl w:val="0"/>
                <w:numId w:val="0"/>
              </w:numPr>
              <w:rPr>
                <w:rFonts w:eastAsia="Times New Roman"/>
                <w:sz w:val="20"/>
                <w:szCs w:val="20"/>
              </w:rPr>
            </w:pPr>
            <w:r>
              <w:rPr>
                <w:rFonts w:eastAsia="Times New Roman"/>
                <w:sz w:val="20"/>
                <w:szCs w:val="20"/>
              </w:rPr>
              <w:t>Alternative 1</w:t>
            </w:r>
            <w:r w:rsidR="00625FAF">
              <w:rPr>
                <w:rFonts w:eastAsia="Times New Roman"/>
                <w:sz w:val="20"/>
                <w:szCs w:val="20"/>
              </w:rPr>
              <w:t xml:space="preserve"> (1 bit in SIB1</w:t>
            </w:r>
            <w:r w:rsidR="00A65ABB">
              <w:rPr>
                <w:rFonts w:eastAsia="Times New Roman"/>
                <w:sz w:val="20"/>
                <w:szCs w:val="20"/>
              </w:rPr>
              <w:t xml:space="preserve"> indicate LBT is required before any transmission).</w:t>
            </w:r>
          </w:p>
        </w:tc>
        <w:tc>
          <w:tcPr>
            <w:tcW w:w="3345" w:type="dxa"/>
          </w:tcPr>
          <w:p w14:paraId="45E20F17" w14:textId="76405962" w:rsidR="00B64E0D" w:rsidRDefault="00B64E0D" w:rsidP="001B5B76">
            <w:pPr>
              <w:pStyle w:val="Heading2"/>
              <w:numPr>
                <w:ilvl w:val="0"/>
                <w:numId w:val="0"/>
              </w:numPr>
              <w:rPr>
                <w:rFonts w:eastAsia="Times New Roman"/>
                <w:sz w:val="20"/>
                <w:szCs w:val="20"/>
              </w:rPr>
            </w:pPr>
            <w:r>
              <w:rPr>
                <w:rFonts w:eastAsia="Times New Roman"/>
                <w:sz w:val="20"/>
                <w:szCs w:val="20"/>
              </w:rPr>
              <w:t>Alternative 2</w:t>
            </w:r>
            <w:r w:rsidR="00625FAF">
              <w:rPr>
                <w:rFonts w:eastAsia="Times New Roman"/>
                <w:sz w:val="20"/>
                <w:szCs w:val="20"/>
              </w:rPr>
              <w:t xml:space="preserve"> (</w:t>
            </w:r>
            <w:r w:rsidR="00C464C0">
              <w:rPr>
                <w:rFonts w:eastAsia="Times New Roman"/>
                <w:sz w:val="20"/>
                <w:szCs w:val="20"/>
              </w:rPr>
              <w:t>Separate</w:t>
            </w:r>
            <w:r w:rsidR="00625FAF">
              <w:rPr>
                <w:rFonts w:eastAsia="Times New Roman"/>
                <w:sz w:val="20"/>
                <w:szCs w:val="20"/>
              </w:rPr>
              <w:t xml:space="preserve"> bits for </w:t>
            </w:r>
            <w:r w:rsidR="00C464C0">
              <w:rPr>
                <w:rFonts w:eastAsia="Times New Roman"/>
                <w:sz w:val="20"/>
                <w:szCs w:val="20"/>
              </w:rPr>
              <w:t>each</w:t>
            </w:r>
            <w:r w:rsidR="00625FAF">
              <w:rPr>
                <w:rFonts w:eastAsia="Times New Roman"/>
                <w:sz w:val="20"/>
                <w:szCs w:val="20"/>
              </w:rPr>
              <w:t xml:space="preserve"> purpose)</w:t>
            </w:r>
          </w:p>
        </w:tc>
      </w:tr>
      <w:tr w:rsidR="00B64E0D" w14:paraId="429FBD99" w14:textId="77777777" w:rsidTr="00424681">
        <w:tc>
          <w:tcPr>
            <w:tcW w:w="1705" w:type="dxa"/>
          </w:tcPr>
          <w:p w14:paraId="50658C80" w14:textId="7C2885A5" w:rsidR="00B64E0D" w:rsidRDefault="00B64E0D" w:rsidP="001B5B76">
            <w:pPr>
              <w:pStyle w:val="Heading2"/>
              <w:numPr>
                <w:ilvl w:val="0"/>
                <w:numId w:val="0"/>
              </w:numPr>
              <w:rPr>
                <w:rFonts w:eastAsia="Times New Roman"/>
                <w:sz w:val="20"/>
                <w:szCs w:val="20"/>
              </w:rPr>
            </w:pPr>
            <w:r>
              <w:rPr>
                <w:rFonts w:eastAsia="Times New Roman"/>
                <w:sz w:val="20"/>
                <w:szCs w:val="20"/>
              </w:rPr>
              <w:t xml:space="preserve">Msg 1 </w:t>
            </w:r>
            <w:r w:rsidR="00625FAF">
              <w:rPr>
                <w:rFonts w:eastAsia="Times New Roman"/>
                <w:sz w:val="20"/>
                <w:szCs w:val="20"/>
              </w:rPr>
              <w:t>and Msg A</w:t>
            </w:r>
            <w:r w:rsidR="00C464C0">
              <w:rPr>
                <w:rFonts w:eastAsia="Times New Roman"/>
                <w:sz w:val="20"/>
                <w:szCs w:val="20"/>
              </w:rPr>
              <w:t xml:space="preserve"> transmission</w:t>
            </w:r>
          </w:p>
        </w:tc>
        <w:tc>
          <w:tcPr>
            <w:tcW w:w="3960" w:type="dxa"/>
          </w:tcPr>
          <w:p w14:paraId="62CBD9C6" w14:textId="22519119" w:rsidR="00B64E0D" w:rsidRDefault="00625FAF" w:rsidP="001B5B76">
            <w:pPr>
              <w:pStyle w:val="Heading2"/>
              <w:numPr>
                <w:ilvl w:val="0"/>
                <w:numId w:val="0"/>
              </w:numPr>
              <w:rPr>
                <w:rFonts w:eastAsia="Times New Roman"/>
                <w:sz w:val="20"/>
                <w:szCs w:val="20"/>
              </w:rPr>
            </w:pPr>
            <w:r>
              <w:rPr>
                <w:rFonts w:eastAsia="Times New Roman"/>
                <w:sz w:val="20"/>
                <w:szCs w:val="20"/>
              </w:rPr>
              <w:t xml:space="preserve">When the indication is set, the UE perform type 1 or type 2 </w:t>
            </w:r>
            <w:r w:rsidR="00A65ABB">
              <w:rPr>
                <w:rFonts w:eastAsia="Times New Roman"/>
                <w:sz w:val="20"/>
                <w:szCs w:val="20"/>
              </w:rPr>
              <w:t xml:space="preserve">LBT </w:t>
            </w:r>
            <w:r>
              <w:rPr>
                <w:rFonts w:eastAsia="Times New Roman"/>
                <w:sz w:val="20"/>
                <w:szCs w:val="20"/>
              </w:rPr>
              <w:t>based on UE capability</w:t>
            </w:r>
          </w:p>
        </w:tc>
        <w:tc>
          <w:tcPr>
            <w:tcW w:w="3345" w:type="dxa"/>
          </w:tcPr>
          <w:p w14:paraId="64896242" w14:textId="5BDBF734" w:rsidR="00625FAF" w:rsidRDefault="00625FAF" w:rsidP="001B5B76">
            <w:pPr>
              <w:pStyle w:val="Heading2"/>
              <w:numPr>
                <w:ilvl w:val="0"/>
                <w:numId w:val="0"/>
              </w:numPr>
              <w:rPr>
                <w:rFonts w:eastAsia="Times New Roman"/>
                <w:sz w:val="20"/>
                <w:szCs w:val="20"/>
              </w:rPr>
            </w:pPr>
            <w:r>
              <w:rPr>
                <w:rFonts w:eastAsia="Times New Roman"/>
                <w:sz w:val="20"/>
                <w:szCs w:val="20"/>
              </w:rPr>
              <w:t>Introduce 1 bit in SIB1 indicate</w:t>
            </w:r>
            <w:r w:rsidR="00A65ABB">
              <w:rPr>
                <w:rFonts w:eastAsia="Times New Roman"/>
                <w:sz w:val="20"/>
                <w:szCs w:val="20"/>
              </w:rPr>
              <w:t>s</w:t>
            </w:r>
            <w:r>
              <w:rPr>
                <w:rFonts w:eastAsia="Times New Roman"/>
                <w:sz w:val="20"/>
                <w:szCs w:val="20"/>
              </w:rPr>
              <w:t xml:space="preserve"> whether LBT is required</w:t>
            </w:r>
            <w:r w:rsidR="00A65ABB">
              <w:rPr>
                <w:rFonts w:eastAsia="Times New Roman"/>
                <w:sz w:val="20"/>
                <w:szCs w:val="20"/>
              </w:rPr>
              <w:t xml:space="preserve"> before msg 1 and msg A</w:t>
            </w:r>
            <w:r>
              <w:rPr>
                <w:rFonts w:eastAsia="Times New Roman"/>
                <w:sz w:val="20"/>
                <w:szCs w:val="20"/>
              </w:rPr>
              <w:t xml:space="preserve">. </w:t>
            </w:r>
          </w:p>
          <w:p w14:paraId="416E6183" w14:textId="3799EE46" w:rsidR="00B64E0D" w:rsidRDefault="00625FAF" w:rsidP="001B5B76">
            <w:pPr>
              <w:pStyle w:val="Heading2"/>
              <w:numPr>
                <w:ilvl w:val="0"/>
                <w:numId w:val="0"/>
              </w:numPr>
              <w:rPr>
                <w:rFonts w:eastAsia="Times New Roman"/>
                <w:sz w:val="20"/>
                <w:szCs w:val="20"/>
              </w:rPr>
            </w:pPr>
            <w:r>
              <w:rPr>
                <w:rFonts w:eastAsia="Times New Roman"/>
                <w:sz w:val="20"/>
                <w:szCs w:val="20"/>
              </w:rPr>
              <w:t xml:space="preserve">When the indication is set, </w:t>
            </w:r>
            <w:r w:rsidR="00A65ABB">
              <w:rPr>
                <w:rFonts w:eastAsia="Times New Roman"/>
                <w:sz w:val="20"/>
                <w:szCs w:val="20"/>
              </w:rPr>
              <w:t>the UE performs</w:t>
            </w:r>
            <w:r>
              <w:rPr>
                <w:rFonts w:eastAsia="Times New Roman"/>
                <w:sz w:val="20"/>
                <w:szCs w:val="20"/>
              </w:rPr>
              <w:t xml:space="preserve"> type 1 or type 2 based on UE capability</w:t>
            </w:r>
          </w:p>
        </w:tc>
      </w:tr>
      <w:tr w:rsidR="00B64E0D" w14:paraId="26082EF7" w14:textId="77777777" w:rsidTr="00424681">
        <w:tc>
          <w:tcPr>
            <w:tcW w:w="1705" w:type="dxa"/>
          </w:tcPr>
          <w:p w14:paraId="05397CB7" w14:textId="33C5F724" w:rsidR="00B64E0D" w:rsidRDefault="00625FAF" w:rsidP="001B5B76">
            <w:pPr>
              <w:pStyle w:val="Heading2"/>
              <w:numPr>
                <w:ilvl w:val="0"/>
                <w:numId w:val="0"/>
              </w:numPr>
              <w:rPr>
                <w:rFonts w:eastAsia="Times New Roman"/>
                <w:sz w:val="20"/>
                <w:szCs w:val="20"/>
              </w:rPr>
            </w:pPr>
            <w:r>
              <w:rPr>
                <w:rFonts w:eastAsia="Times New Roman"/>
                <w:sz w:val="20"/>
                <w:szCs w:val="20"/>
              </w:rPr>
              <w:t>Fall back DCI</w:t>
            </w:r>
          </w:p>
        </w:tc>
        <w:tc>
          <w:tcPr>
            <w:tcW w:w="3960" w:type="dxa"/>
          </w:tcPr>
          <w:p w14:paraId="56AC8077" w14:textId="6F1D9C20" w:rsidR="00625FAF" w:rsidRDefault="00625FAF" w:rsidP="00625FAF">
            <w:pPr>
              <w:pStyle w:val="Heading2"/>
              <w:numPr>
                <w:ilvl w:val="0"/>
                <w:numId w:val="0"/>
              </w:numPr>
              <w:rPr>
                <w:rFonts w:eastAsia="Times New Roman"/>
                <w:sz w:val="20"/>
                <w:szCs w:val="20"/>
              </w:rPr>
            </w:pPr>
            <w:r>
              <w:rPr>
                <w:rFonts w:eastAsia="Times New Roman"/>
                <w:sz w:val="20"/>
                <w:szCs w:val="20"/>
              </w:rPr>
              <w:t xml:space="preserve">1 bit in DCI. </w:t>
            </w:r>
            <w:r>
              <w:rPr>
                <w:rFonts w:eastAsia="Times New Roman"/>
                <w:sz w:val="20"/>
                <w:szCs w:val="20"/>
              </w:rPr>
              <w:br/>
              <w:t>When the SIB1 indicat</w:t>
            </w:r>
            <w:r w:rsidR="00EE635F">
              <w:rPr>
                <w:rFonts w:eastAsia="Times New Roman"/>
                <w:sz w:val="20"/>
                <w:szCs w:val="20"/>
              </w:rPr>
              <w:t>ion</w:t>
            </w:r>
            <w:r>
              <w:rPr>
                <w:rFonts w:eastAsia="Times New Roman"/>
                <w:sz w:val="20"/>
                <w:szCs w:val="20"/>
              </w:rPr>
              <w:t xml:space="preserve"> is not set, follow the </w:t>
            </w:r>
            <w:proofErr w:type="gramStart"/>
            <w:r>
              <w:rPr>
                <w:rFonts w:eastAsia="Times New Roman"/>
                <w:sz w:val="20"/>
                <w:szCs w:val="20"/>
              </w:rPr>
              <w:t>1 bit</w:t>
            </w:r>
            <w:proofErr w:type="gramEnd"/>
            <w:r>
              <w:rPr>
                <w:rFonts w:eastAsia="Times New Roman"/>
                <w:sz w:val="20"/>
                <w:szCs w:val="20"/>
              </w:rPr>
              <w:t xml:space="preserve"> indication to perform type 1 or type 3 LBT. </w:t>
            </w:r>
          </w:p>
          <w:p w14:paraId="09721BB3" w14:textId="0507807C" w:rsidR="00625FAF" w:rsidRPr="00625FAF" w:rsidRDefault="00625FAF" w:rsidP="00625FAF">
            <w:pPr>
              <w:pStyle w:val="Heading2"/>
              <w:numPr>
                <w:ilvl w:val="0"/>
                <w:numId w:val="0"/>
              </w:numPr>
              <w:rPr>
                <w:rFonts w:eastAsia="Times New Roman"/>
                <w:sz w:val="20"/>
                <w:szCs w:val="20"/>
              </w:rPr>
            </w:pPr>
            <w:r>
              <w:rPr>
                <w:rFonts w:eastAsia="Times New Roman"/>
                <w:sz w:val="20"/>
                <w:szCs w:val="20"/>
              </w:rPr>
              <w:t xml:space="preserve">When the SIB1 indication is set, </w:t>
            </w:r>
            <w:r>
              <w:rPr>
                <w:rFonts w:eastAsia="Times New Roman"/>
                <w:sz w:val="20"/>
                <w:szCs w:val="20"/>
              </w:rPr>
              <w:t>the UE perform type 1 or type 2 based on UE capability</w:t>
            </w:r>
            <w:r>
              <w:rPr>
                <w:rFonts w:eastAsia="Times New Roman"/>
                <w:sz w:val="20"/>
                <w:szCs w:val="20"/>
              </w:rPr>
              <w:t xml:space="preserve">.   </w:t>
            </w:r>
          </w:p>
        </w:tc>
        <w:tc>
          <w:tcPr>
            <w:tcW w:w="3345" w:type="dxa"/>
          </w:tcPr>
          <w:p w14:paraId="6CBF8B09" w14:textId="2756B897" w:rsidR="00B64E0D" w:rsidRDefault="00625FAF" w:rsidP="001B5B76">
            <w:pPr>
              <w:pStyle w:val="Heading2"/>
              <w:numPr>
                <w:ilvl w:val="0"/>
                <w:numId w:val="0"/>
              </w:numPr>
              <w:rPr>
                <w:rFonts w:eastAsia="Times New Roman"/>
                <w:sz w:val="20"/>
                <w:szCs w:val="20"/>
              </w:rPr>
            </w:pPr>
            <w:r>
              <w:rPr>
                <w:rFonts w:eastAsia="Times New Roman"/>
                <w:sz w:val="20"/>
                <w:szCs w:val="20"/>
              </w:rPr>
              <w:t>2 bit</w:t>
            </w:r>
            <w:r w:rsidR="00A65ABB">
              <w:rPr>
                <w:rFonts w:eastAsia="Times New Roman"/>
                <w:sz w:val="20"/>
                <w:szCs w:val="20"/>
              </w:rPr>
              <w:t>s</w:t>
            </w:r>
            <w:r>
              <w:rPr>
                <w:rFonts w:eastAsia="Times New Roman"/>
                <w:sz w:val="20"/>
                <w:szCs w:val="20"/>
              </w:rPr>
              <w:t xml:space="preserve"> in DCI</w:t>
            </w:r>
          </w:p>
          <w:p w14:paraId="799D63BC" w14:textId="76E3DE70" w:rsidR="00625FAF" w:rsidRPr="00625FAF" w:rsidRDefault="00625FAF" w:rsidP="00625FAF">
            <w:r>
              <w:rPr>
                <w:sz w:val="20"/>
                <w:szCs w:val="20"/>
              </w:rPr>
              <w:t>When</w:t>
            </w:r>
            <w:r>
              <w:rPr>
                <w:sz w:val="20"/>
                <w:szCs w:val="20"/>
              </w:rPr>
              <w:t xml:space="preserve"> type 2 LBT is indicated to the UE, and if the UE does not support CAT 2 LBT capability, the UE perform type 3.   </w:t>
            </w:r>
          </w:p>
        </w:tc>
      </w:tr>
      <w:tr w:rsidR="00B64E0D" w14:paraId="196281A8" w14:textId="77777777" w:rsidTr="00424681">
        <w:tc>
          <w:tcPr>
            <w:tcW w:w="1705" w:type="dxa"/>
          </w:tcPr>
          <w:p w14:paraId="22FE8363" w14:textId="2D7E07D4" w:rsidR="00B64E0D" w:rsidRDefault="00625FAF" w:rsidP="001B5B76">
            <w:pPr>
              <w:pStyle w:val="Heading2"/>
              <w:numPr>
                <w:ilvl w:val="0"/>
                <w:numId w:val="0"/>
              </w:numPr>
              <w:rPr>
                <w:rFonts w:eastAsia="Times New Roman"/>
                <w:sz w:val="20"/>
                <w:szCs w:val="20"/>
              </w:rPr>
            </w:pPr>
            <w:r>
              <w:rPr>
                <w:rFonts w:eastAsia="Times New Roman"/>
                <w:sz w:val="20"/>
                <w:szCs w:val="20"/>
              </w:rPr>
              <w:t xml:space="preserve">LBT upgrade </w:t>
            </w:r>
          </w:p>
        </w:tc>
        <w:tc>
          <w:tcPr>
            <w:tcW w:w="3960" w:type="dxa"/>
          </w:tcPr>
          <w:p w14:paraId="660D6F07" w14:textId="314CC2E6" w:rsidR="00EE635F" w:rsidRDefault="00625FAF" w:rsidP="00EE635F">
            <w:pPr>
              <w:pStyle w:val="Heading2"/>
              <w:numPr>
                <w:ilvl w:val="0"/>
                <w:numId w:val="0"/>
              </w:numPr>
              <w:rPr>
                <w:rFonts w:eastAsia="Times New Roman"/>
                <w:sz w:val="20"/>
                <w:szCs w:val="20"/>
              </w:rPr>
            </w:pPr>
            <w:r>
              <w:rPr>
                <w:rFonts w:eastAsia="Times New Roman"/>
                <w:sz w:val="20"/>
                <w:szCs w:val="20"/>
              </w:rPr>
              <w:t>When the SIB1 indicat</w:t>
            </w:r>
            <w:r w:rsidR="00EE635F">
              <w:rPr>
                <w:rFonts w:eastAsia="Times New Roman"/>
                <w:sz w:val="20"/>
                <w:szCs w:val="20"/>
              </w:rPr>
              <w:t>ion</w:t>
            </w:r>
            <w:r>
              <w:rPr>
                <w:rFonts w:eastAsia="Times New Roman"/>
                <w:sz w:val="20"/>
                <w:szCs w:val="20"/>
              </w:rPr>
              <w:t xml:space="preserve"> is not set, </w:t>
            </w:r>
            <w:r w:rsidR="00EE635F">
              <w:rPr>
                <w:rFonts w:eastAsia="Times New Roman"/>
                <w:sz w:val="20"/>
                <w:szCs w:val="20"/>
              </w:rPr>
              <w:t xml:space="preserve">UE can perform LBT upgrade from type 3 to type 1 if UE detect the UL transmission is within COT. </w:t>
            </w:r>
          </w:p>
          <w:p w14:paraId="190335A6" w14:textId="53160458" w:rsidR="00B64E0D" w:rsidRDefault="00EE635F" w:rsidP="00EE635F">
            <w:pPr>
              <w:rPr>
                <w:sz w:val="20"/>
                <w:szCs w:val="20"/>
              </w:rPr>
            </w:pPr>
            <w:r w:rsidRPr="00EE635F">
              <w:rPr>
                <w:sz w:val="20"/>
                <w:szCs w:val="20"/>
              </w:rPr>
              <w:t xml:space="preserve">When the SIB1 indication is set, </w:t>
            </w:r>
            <w:r>
              <w:rPr>
                <w:sz w:val="20"/>
                <w:szCs w:val="20"/>
              </w:rPr>
              <w:t xml:space="preserve">UE can perform </w:t>
            </w:r>
            <w:r w:rsidR="00A65ABB">
              <w:rPr>
                <w:sz w:val="20"/>
                <w:szCs w:val="20"/>
              </w:rPr>
              <w:t>type 1 or type 2</w:t>
            </w:r>
            <w:r>
              <w:rPr>
                <w:sz w:val="20"/>
                <w:szCs w:val="20"/>
              </w:rPr>
              <w:t xml:space="preserve"> LBT </w:t>
            </w:r>
            <w:r w:rsidR="00A65ABB">
              <w:rPr>
                <w:sz w:val="20"/>
                <w:szCs w:val="20"/>
              </w:rPr>
              <w:t xml:space="preserve">based on UE capability, </w:t>
            </w:r>
            <w:r>
              <w:rPr>
                <w:sz w:val="20"/>
                <w:szCs w:val="20"/>
              </w:rPr>
              <w:t>regard</w:t>
            </w:r>
            <w:r w:rsidR="00A65ABB">
              <w:rPr>
                <w:sz w:val="20"/>
                <w:szCs w:val="20"/>
              </w:rPr>
              <w:t>-</w:t>
            </w:r>
            <w:r>
              <w:rPr>
                <w:sz w:val="20"/>
                <w:szCs w:val="20"/>
              </w:rPr>
              <w:t xml:space="preserve">less whether this is within COT or not. </w:t>
            </w:r>
          </w:p>
        </w:tc>
        <w:tc>
          <w:tcPr>
            <w:tcW w:w="3345" w:type="dxa"/>
          </w:tcPr>
          <w:p w14:paraId="2B2DDC20" w14:textId="0EB197E3" w:rsidR="00B64E0D" w:rsidRDefault="00EE635F" w:rsidP="001B5B76">
            <w:pPr>
              <w:pStyle w:val="Heading2"/>
              <w:numPr>
                <w:ilvl w:val="0"/>
                <w:numId w:val="0"/>
              </w:numPr>
              <w:rPr>
                <w:rFonts w:eastAsia="Times New Roman"/>
                <w:sz w:val="20"/>
                <w:szCs w:val="20"/>
              </w:rPr>
            </w:pPr>
            <w:proofErr w:type="gramStart"/>
            <w:r>
              <w:rPr>
                <w:rFonts w:eastAsia="Times New Roman"/>
                <w:sz w:val="20"/>
                <w:szCs w:val="20"/>
              </w:rPr>
              <w:t>1 bit</w:t>
            </w:r>
            <w:proofErr w:type="gramEnd"/>
            <w:r>
              <w:rPr>
                <w:rFonts w:eastAsia="Times New Roman"/>
                <w:sz w:val="20"/>
                <w:szCs w:val="20"/>
              </w:rPr>
              <w:t xml:space="preserve"> </w:t>
            </w:r>
            <w:proofErr w:type="spellStart"/>
            <w:r>
              <w:rPr>
                <w:rFonts w:eastAsia="Times New Roman"/>
                <w:sz w:val="20"/>
                <w:szCs w:val="20"/>
              </w:rPr>
              <w:t>SIB</w:t>
            </w:r>
            <w:r w:rsidR="00A65ABB">
              <w:rPr>
                <w:rFonts w:eastAsia="Times New Roman"/>
                <w:sz w:val="20"/>
                <w:szCs w:val="20"/>
              </w:rPr>
              <w:t>x</w:t>
            </w:r>
            <w:proofErr w:type="spellEnd"/>
            <w:r>
              <w:rPr>
                <w:rFonts w:eastAsia="Times New Roman"/>
                <w:sz w:val="20"/>
                <w:szCs w:val="20"/>
              </w:rPr>
              <w:t xml:space="preserve"> or RRC signaling to indicate whether type 3 is allowed for LBT upgrade within COT. </w:t>
            </w:r>
          </w:p>
        </w:tc>
      </w:tr>
      <w:tr w:rsidR="00B64E0D" w14:paraId="1E282EBD" w14:textId="77777777" w:rsidTr="00424681">
        <w:tc>
          <w:tcPr>
            <w:tcW w:w="1705" w:type="dxa"/>
          </w:tcPr>
          <w:p w14:paraId="7314CF30" w14:textId="6CCC6195" w:rsidR="00B64E0D" w:rsidRDefault="00EE635F" w:rsidP="001B5B76">
            <w:pPr>
              <w:pStyle w:val="Heading2"/>
              <w:numPr>
                <w:ilvl w:val="0"/>
                <w:numId w:val="0"/>
              </w:numPr>
              <w:rPr>
                <w:rFonts w:eastAsia="Times New Roman"/>
                <w:sz w:val="20"/>
                <w:szCs w:val="20"/>
              </w:rPr>
            </w:pPr>
            <w:r>
              <w:rPr>
                <w:rFonts w:eastAsia="Times New Roman"/>
                <w:sz w:val="20"/>
                <w:szCs w:val="20"/>
              </w:rPr>
              <w:t>Non-</w:t>
            </w:r>
            <w:proofErr w:type="gramStart"/>
            <w:r>
              <w:rPr>
                <w:rFonts w:eastAsia="Times New Roman"/>
                <w:sz w:val="20"/>
                <w:szCs w:val="20"/>
              </w:rPr>
              <w:t>fall back</w:t>
            </w:r>
            <w:proofErr w:type="gramEnd"/>
            <w:r>
              <w:rPr>
                <w:rFonts w:eastAsia="Times New Roman"/>
                <w:sz w:val="20"/>
                <w:szCs w:val="20"/>
              </w:rPr>
              <w:t xml:space="preserve"> DCI</w:t>
            </w:r>
            <w:r w:rsidR="00424681">
              <w:rPr>
                <w:rFonts w:eastAsia="Times New Roman"/>
                <w:sz w:val="20"/>
                <w:szCs w:val="20"/>
              </w:rPr>
              <w:t xml:space="preserve"> (no spec impact, overhead </w:t>
            </w:r>
            <w:r w:rsidR="002B2B33">
              <w:rPr>
                <w:rFonts w:eastAsia="Times New Roman"/>
                <w:sz w:val="20"/>
                <w:szCs w:val="20"/>
              </w:rPr>
              <w:t>in</w:t>
            </w:r>
            <w:r w:rsidR="00424681">
              <w:rPr>
                <w:rFonts w:eastAsia="Times New Roman"/>
                <w:sz w:val="20"/>
                <w:szCs w:val="20"/>
              </w:rPr>
              <w:t xml:space="preserve"> deployment) </w:t>
            </w:r>
          </w:p>
        </w:tc>
        <w:tc>
          <w:tcPr>
            <w:tcW w:w="3960" w:type="dxa"/>
          </w:tcPr>
          <w:p w14:paraId="005D5762" w14:textId="3C44C716" w:rsidR="00EE635F" w:rsidRPr="00EE635F" w:rsidRDefault="002B2B33" w:rsidP="002B2B33">
            <w:pPr>
              <w:pStyle w:val="Heading2"/>
              <w:numPr>
                <w:ilvl w:val="0"/>
                <w:numId w:val="0"/>
              </w:numPr>
              <w:rPr>
                <w:rFonts w:eastAsia="Times New Roman"/>
                <w:sz w:val="20"/>
                <w:szCs w:val="20"/>
              </w:rPr>
            </w:pPr>
            <w:r>
              <w:rPr>
                <w:rFonts w:eastAsia="Times New Roman"/>
                <w:sz w:val="20"/>
                <w:szCs w:val="20"/>
              </w:rPr>
              <w:t xml:space="preserve">When the SIB1 indication is set, 0 bit is configured in non-fall DCI.  </w:t>
            </w:r>
            <w:r w:rsidR="00424681">
              <w:rPr>
                <w:rFonts w:eastAsia="Times New Roman"/>
                <w:sz w:val="20"/>
                <w:szCs w:val="20"/>
              </w:rPr>
              <w:t xml:space="preserve">UE perform type 1 or type 2 before each transmission </w:t>
            </w:r>
            <w:r>
              <w:rPr>
                <w:rFonts w:eastAsia="Times New Roman"/>
                <w:sz w:val="20"/>
                <w:szCs w:val="20"/>
              </w:rPr>
              <w:t xml:space="preserve">based on UE capability </w:t>
            </w:r>
            <w:r w:rsidR="00424681">
              <w:rPr>
                <w:rFonts w:eastAsia="Times New Roman"/>
                <w:sz w:val="20"/>
                <w:szCs w:val="20"/>
              </w:rPr>
              <w:t xml:space="preserve">without dynamic signaling. </w:t>
            </w:r>
            <w:r w:rsidR="00EE635F">
              <w:rPr>
                <w:rFonts w:eastAsia="Times New Roman"/>
                <w:sz w:val="20"/>
                <w:szCs w:val="20"/>
              </w:rPr>
              <w:t xml:space="preserve">  </w:t>
            </w:r>
          </w:p>
        </w:tc>
        <w:tc>
          <w:tcPr>
            <w:tcW w:w="3345" w:type="dxa"/>
          </w:tcPr>
          <w:p w14:paraId="17EDF04B" w14:textId="244E0FFA" w:rsidR="00B64E0D" w:rsidRDefault="00424681" w:rsidP="001B5B76">
            <w:pPr>
              <w:pStyle w:val="Heading2"/>
              <w:numPr>
                <w:ilvl w:val="0"/>
                <w:numId w:val="0"/>
              </w:numPr>
              <w:rPr>
                <w:rFonts w:eastAsia="Times New Roman"/>
                <w:sz w:val="20"/>
                <w:szCs w:val="20"/>
              </w:rPr>
            </w:pPr>
            <w:proofErr w:type="gramStart"/>
            <w:r>
              <w:rPr>
                <w:rFonts w:eastAsia="Times New Roman"/>
                <w:sz w:val="20"/>
                <w:szCs w:val="20"/>
              </w:rPr>
              <w:t>1 or 2 bit</w:t>
            </w:r>
            <w:proofErr w:type="gramEnd"/>
            <w:r>
              <w:rPr>
                <w:rFonts w:eastAsia="Times New Roman"/>
                <w:sz w:val="20"/>
                <w:szCs w:val="20"/>
              </w:rPr>
              <w:t xml:space="preserve"> CCA configuration </w:t>
            </w:r>
            <w:r w:rsidR="002B2B33">
              <w:rPr>
                <w:rFonts w:eastAsia="Times New Roman"/>
                <w:sz w:val="20"/>
                <w:szCs w:val="20"/>
              </w:rPr>
              <w:t xml:space="preserve">need to be </w:t>
            </w:r>
            <w:r>
              <w:rPr>
                <w:rFonts w:eastAsia="Times New Roman"/>
                <w:sz w:val="20"/>
                <w:szCs w:val="20"/>
              </w:rPr>
              <w:t>configured in deployment.</w:t>
            </w:r>
            <w:r w:rsidR="002B2B33">
              <w:rPr>
                <w:rFonts w:eastAsia="Times New Roman"/>
                <w:sz w:val="20"/>
                <w:szCs w:val="20"/>
              </w:rPr>
              <w:t xml:space="preserve"> Always rely on dynamic signaling to know whether LBT is needed. </w:t>
            </w:r>
            <w:r>
              <w:rPr>
                <w:rFonts w:eastAsia="Times New Roman"/>
                <w:sz w:val="20"/>
                <w:szCs w:val="20"/>
              </w:rPr>
              <w:t xml:space="preserve"> </w:t>
            </w:r>
          </w:p>
        </w:tc>
      </w:tr>
      <w:tr w:rsidR="00424681" w14:paraId="4640E2CE" w14:textId="77777777" w:rsidTr="00424681">
        <w:trPr>
          <w:trHeight w:val="926"/>
        </w:trPr>
        <w:tc>
          <w:tcPr>
            <w:tcW w:w="1705" w:type="dxa"/>
          </w:tcPr>
          <w:p w14:paraId="432D428A" w14:textId="61A6F7B9" w:rsidR="00424681" w:rsidRDefault="00424681" w:rsidP="001B5B76">
            <w:pPr>
              <w:pStyle w:val="Heading2"/>
              <w:numPr>
                <w:ilvl w:val="0"/>
                <w:numId w:val="0"/>
              </w:numPr>
              <w:rPr>
                <w:rFonts w:eastAsia="Times New Roman"/>
                <w:sz w:val="20"/>
                <w:szCs w:val="20"/>
              </w:rPr>
            </w:pPr>
            <w:r>
              <w:rPr>
                <w:rFonts w:eastAsia="Times New Roman"/>
                <w:sz w:val="20"/>
                <w:szCs w:val="20"/>
              </w:rPr>
              <w:t>Summary</w:t>
            </w:r>
          </w:p>
        </w:tc>
        <w:tc>
          <w:tcPr>
            <w:tcW w:w="3960" w:type="dxa"/>
          </w:tcPr>
          <w:p w14:paraId="3A5E6E7E" w14:textId="61C7B858" w:rsidR="00424681" w:rsidRDefault="00424681" w:rsidP="00EE635F">
            <w:pPr>
              <w:pStyle w:val="Heading2"/>
              <w:numPr>
                <w:ilvl w:val="0"/>
                <w:numId w:val="0"/>
              </w:numPr>
              <w:rPr>
                <w:rFonts w:eastAsia="Times New Roman"/>
                <w:sz w:val="20"/>
                <w:szCs w:val="20"/>
              </w:rPr>
            </w:pPr>
            <w:r>
              <w:rPr>
                <w:rFonts w:eastAsia="Times New Roman"/>
                <w:sz w:val="20"/>
                <w:szCs w:val="20"/>
              </w:rPr>
              <w:t>1 bit in SIB1, 1 bit in Fall-back DCI</w:t>
            </w:r>
          </w:p>
        </w:tc>
        <w:tc>
          <w:tcPr>
            <w:tcW w:w="3345" w:type="dxa"/>
          </w:tcPr>
          <w:p w14:paraId="53C1A0C1" w14:textId="68CF5FCB" w:rsidR="00424681" w:rsidRDefault="00424681" w:rsidP="001B5B76">
            <w:pPr>
              <w:pStyle w:val="Heading2"/>
              <w:numPr>
                <w:ilvl w:val="0"/>
                <w:numId w:val="0"/>
              </w:numPr>
              <w:rPr>
                <w:rFonts w:eastAsia="Times New Roman"/>
                <w:sz w:val="20"/>
                <w:szCs w:val="20"/>
              </w:rPr>
            </w:pPr>
            <w:r>
              <w:rPr>
                <w:rFonts w:eastAsia="Times New Roman"/>
                <w:sz w:val="20"/>
                <w:szCs w:val="20"/>
              </w:rPr>
              <w:t xml:space="preserve">1 bit in SIB1, 1 bit in </w:t>
            </w:r>
            <w:proofErr w:type="spellStart"/>
            <w:r>
              <w:rPr>
                <w:rFonts w:eastAsia="Times New Roman"/>
                <w:sz w:val="20"/>
                <w:szCs w:val="20"/>
              </w:rPr>
              <w:t>SIBx</w:t>
            </w:r>
            <w:proofErr w:type="spellEnd"/>
            <w:r>
              <w:rPr>
                <w:rFonts w:eastAsia="Times New Roman"/>
                <w:sz w:val="20"/>
                <w:szCs w:val="20"/>
              </w:rPr>
              <w:t xml:space="preserve">. 2 bits in fall back DCI, and 1 or 2 bits </w:t>
            </w:r>
            <w:r w:rsidR="002B2B33">
              <w:rPr>
                <w:rFonts w:eastAsia="Times New Roman"/>
                <w:sz w:val="20"/>
                <w:szCs w:val="20"/>
              </w:rPr>
              <w:t xml:space="preserve">needs to be configured </w:t>
            </w:r>
            <w:r>
              <w:rPr>
                <w:rFonts w:eastAsia="Times New Roman"/>
                <w:sz w:val="20"/>
                <w:szCs w:val="20"/>
              </w:rPr>
              <w:t>in non-</w:t>
            </w:r>
            <w:proofErr w:type="gramStart"/>
            <w:r>
              <w:rPr>
                <w:rFonts w:eastAsia="Times New Roman"/>
                <w:sz w:val="20"/>
                <w:szCs w:val="20"/>
              </w:rPr>
              <w:t>fall back</w:t>
            </w:r>
            <w:proofErr w:type="gramEnd"/>
            <w:r>
              <w:rPr>
                <w:rFonts w:eastAsia="Times New Roman"/>
                <w:sz w:val="20"/>
                <w:szCs w:val="20"/>
              </w:rPr>
              <w:t xml:space="preserve"> DCI. </w:t>
            </w:r>
          </w:p>
        </w:tc>
      </w:tr>
    </w:tbl>
    <w:p w14:paraId="3CFF3E3F" w14:textId="77777777" w:rsidR="00CF12D6" w:rsidRPr="00CF12D6" w:rsidRDefault="00CF12D6" w:rsidP="00CF12D6"/>
    <w:p w14:paraId="00AF09B9" w14:textId="77777777" w:rsidR="00103450" w:rsidRPr="00103450" w:rsidRDefault="00103450" w:rsidP="00103450">
      <w:pPr>
        <w:tabs>
          <w:tab w:val="left" w:pos="640"/>
        </w:tabs>
        <w:rPr>
          <w:b/>
          <w:bCs/>
          <w:sz w:val="20"/>
          <w:szCs w:val="20"/>
        </w:rPr>
      </w:pPr>
      <w:r w:rsidRPr="00103450">
        <w:rPr>
          <w:b/>
          <w:bCs/>
          <w:sz w:val="20"/>
          <w:szCs w:val="20"/>
        </w:rPr>
        <w:t xml:space="preserve">Proposal 1: Add </w:t>
      </w:r>
      <w:proofErr w:type="gramStart"/>
      <w:r w:rsidRPr="00103450">
        <w:rPr>
          <w:b/>
          <w:bCs/>
          <w:sz w:val="20"/>
          <w:szCs w:val="20"/>
        </w:rPr>
        <w:t>one bit</w:t>
      </w:r>
      <w:proofErr w:type="gramEnd"/>
      <w:r w:rsidRPr="00103450">
        <w:rPr>
          <w:b/>
          <w:bCs/>
          <w:sz w:val="20"/>
          <w:szCs w:val="20"/>
        </w:rPr>
        <w:t xml:space="preserve"> SIB1 signaling indicating LBT is required before all transmission (i.e. Japan).   </w:t>
      </w:r>
    </w:p>
    <w:p w14:paraId="6E357898" w14:textId="77777777" w:rsidR="00103450" w:rsidRDefault="00103450" w:rsidP="00103450">
      <w:pPr>
        <w:tabs>
          <w:tab w:val="left" w:pos="640"/>
        </w:tabs>
        <w:rPr>
          <w:b/>
          <w:bCs/>
          <w:sz w:val="20"/>
          <w:szCs w:val="20"/>
        </w:rPr>
      </w:pPr>
    </w:p>
    <w:p w14:paraId="5387FD4A" w14:textId="77777777" w:rsidR="00103450" w:rsidRDefault="00103450" w:rsidP="00103450">
      <w:pPr>
        <w:tabs>
          <w:tab w:val="left" w:pos="640"/>
        </w:tabs>
        <w:rPr>
          <w:b/>
          <w:bCs/>
          <w:sz w:val="20"/>
          <w:szCs w:val="20"/>
        </w:rPr>
      </w:pPr>
      <w:r w:rsidRPr="00103450">
        <w:rPr>
          <w:b/>
          <w:bCs/>
          <w:sz w:val="20"/>
          <w:szCs w:val="20"/>
        </w:rPr>
        <w:t>Proposal 2: RACH msg 1 or msg A transmission</w:t>
      </w:r>
    </w:p>
    <w:p w14:paraId="3846EB45" w14:textId="77777777" w:rsidR="00103450" w:rsidRDefault="00103450" w:rsidP="00103450">
      <w:pPr>
        <w:pStyle w:val="ListParagraph"/>
        <w:numPr>
          <w:ilvl w:val="0"/>
          <w:numId w:val="45"/>
        </w:numPr>
        <w:tabs>
          <w:tab w:val="left" w:pos="640"/>
        </w:tabs>
        <w:ind w:leftChars="0"/>
        <w:rPr>
          <w:b/>
          <w:bCs/>
          <w:szCs w:val="20"/>
        </w:rPr>
      </w:pPr>
      <w:r w:rsidRPr="00103450">
        <w:rPr>
          <w:b/>
          <w:bCs/>
          <w:szCs w:val="20"/>
        </w:rPr>
        <w:t xml:space="preserve">When indicated in SIB1 that LBT is required before all transmission, Type </w:t>
      </w:r>
      <w:proofErr w:type="gramStart"/>
      <w:r w:rsidRPr="00103450">
        <w:rPr>
          <w:b/>
          <w:bCs/>
          <w:szCs w:val="20"/>
        </w:rPr>
        <w:t>1</w:t>
      </w:r>
      <w:proofErr w:type="gramEnd"/>
      <w:r w:rsidRPr="00103450">
        <w:rPr>
          <w:b/>
          <w:bCs/>
          <w:szCs w:val="20"/>
        </w:rPr>
        <w:t xml:space="preserve"> or type 2 LBT can be performed depending on UE capability.   </w:t>
      </w:r>
    </w:p>
    <w:p w14:paraId="207D1020" w14:textId="1DECBD09" w:rsidR="00103450" w:rsidRPr="00103450" w:rsidRDefault="00103450" w:rsidP="00103450">
      <w:pPr>
        <w:pStyle w:val="ListParagraph"/>
        <w:numPr>
          <w:ilvl w:val="0"/>
          <w:numId w:val="45"/>
        </w:numPr>
        <w:tabs>
          <w:tab w:val="left" w:pos="640"/>
        </w:tabs>
        <w:ind w:leftChars="0"/>
        <w:rPr>
          <w:b/>
          <w:bCs/>
          <w:szCs w:val="20"/>
        </w:rPr>
      </w:pPr>
      <w:r w:rsidRPr="00103450">
        <w:rPr>
          <w:b/>
          <w:bCs/>
          <w:szCs w:val="20"/>
        </w:rPr>
        <w:t xml:space="preserve">Otherwise type 3 can be used.  </w:t>
      </w:r>
    </w:p>
    <w:p w14:paraId="40F2AB18" w14:textId="77777777" w:rsidR="00103450" w:rsidRDefault="00103450" w:rsidP="00103450">
      <w:pPr>
        <w:tabs>
          <w:tab w:val="left" w:pos="640"/>
        </w:tabs>
        <w:rPr>
          <w:b/>
          <w:bCs/>
          <w:sz w:val="20"/>
          <w:szCs w:val="20"/>
          <w:lang w:val="en-GB"/>
        </w:rPr>
      </w:pPr>
    </w:p>
    <w:p w14:paraId="038834F1" w14:textId="77777777" w:rsidR="00103450" w:rsidRDefault="00103450" w:rsidP="00103450">
      <w:pPr>
        <w:tabs>
          <w:tab w:val="left" w:pos="640"/>
        </w:tabs>
        <w:rPr>
          <w:b/>
          <w:bCs/>
          <w:sz w:val="20"/>
          <w:szCs w:val="20"/>
        </w:rPr>
      </w:pPr>
      <w:r w:rsidRPr="00103450">
        <w:rPr>
          <w:b/>
          <w:bCs/>
          <w:sz w:val="20"/>
          <w:szCs w:val="20"/>
        </w:rPr>
        <w:t xml:space="preserve">Proposal 3: </w:t>
      </w:r>
      <w:proofErr w:type="gramStart"/>
      <w:r w:rsidRPr="00103450">
        <w:rPr>
          <w:b/>
          <w:bCs/>
          <w:sz w:val="20"/>
          <w:szCs w:val="20"/>
        </w:rPr>
        <w:t>1 bit</w:t>
      </w:r>
      <w:proofErr w:type="gramEnd"/>
      <w:r w:rsidRPr="00103450">
        <w:rPr>
          <w:b/>
          <w:bCs/>
          <w:sz w:val="20"/>
          <w:szCs w:val="20"/>
        </w:rPr>
        <w:t xml:space="preserve"> CCA indication in fall back DCI </w:t>
      </w:r>
    </w:p>
    <w:p w14:paraId="403986CC" w14:textId="77777777" w:rsidR="00103450" w:rsidRDefault="00103450" w:rsidP="00103450">
      <w:pPr>
        <w:pStyle w:val="ListParagraph"/>
        <w:numPr>
          <w:ilvl w:val="0"/>
          <w:numId w:val="47"/>
        </w:numPr>
        <w:tabs>
          <w:tab w:val="left" w:pos="640"/>
        </w:tabs>
        <w:ind w:leftChars="0"/>
        <w:rPr>
          <w:b/>
          <w:bCs/>
          <w:szCs w:val="20"/>
        </w:rPr>
      </w:pPr>
      <w:r w:rsidRPr="00103450">
        <w:rPr>
          <w:b/>
          <w:bCs/>
          <w:szCs w:val="20"/>
        </w:rPr>
        <w:t>When indicated in SIB1 that LBT is required before all transmission, UE can determine whether type 1 or type 2 can be performed depending on UE capability.</w:t>
      </w:r>
    </w:p>
    <w:p w14:paraId="5986063F" w14:textId="2F3E383F" w:rsidR="00103450" w:rsidRDefault="00103450" w:rsidP="00103450">
      <w:pPr>
        <w:pStyle w:val="ListParagraph"/>
        <w:numPr>
          <w:ilvl w:val="0"/>
          <w:numId w:val="47"/>
        </w:numPr>
        <w:tabs>
          <w:tab w:val="left" w:pos="640"/>
        </w:tabs>
        <w:ind w:leftChars="0"/>
        <w:rPr>
          <w:b/>
          <w:bCs/>
          <w:szCs w:val="20"/>
        </w:rPr>
      </w:pPr>
      <w:r w:rsidRPr="00103450">
        <w:rPr>
          <w:b/>
          <w:bCs/>
          <w:szCs w:val="20"/>
        </w:rPr>
        <w:t xml:space="preserve">Otherwise, follow type 1 or type 3 LBT indication in DCI. </w:t>
      </w:r>
    </w:p>
    <w:p w14:paraId="7B16A483" w14:textId="77777777" w:rsidR="00103450" w:rsidRDefault="00103450" w:rsidP="00103450">
      <w:pPr>
        <w:pStyle w:val="ListParagraph"/>
        <w:tabs>
          <w:tab w:val="left" w:pos="640"/>
        </w:tabs>
        <w:ind w:leftChars="0" w:left="720" w:firstLine="0"/>
        <w:rPr>
          <w:b/>
          <w:bCs/>
          <w:szCs w:val="20"/>
        </w:rPr>
      </w:pPr>
    </w:p>
    <w:p w14:paraId="6A80F74A" w14:textId="4EA8CC6A" w:rsidR="00103450" w:rsidRDefault="00103450" w:rsidP="00103450">
      <w:pPr>
        <w:tabs>
          <w:tab w:val="left" w:pos="640"/>
        </w:tabs>
        <w:rPr>
          <w:b/>
          <w:bCs/>
          <w:sz w:val="20"/>
          <w:szCs w:val="20"/>
        </w:rPr>
      </w:pPr>
      <w:r w:rsidRPr="00103450">
        <w:rPr>
          <w:b/>
          <w:bCs/>
          <w:sz w:val="20"/>
          <w:szCs w:val="20"/>
        </w:rPr>
        <w:t>Proposal 4: UE LBT upgrade behavior</w:t>
      </w:r>
    </w:p>
    <w:p w14:paraId="07D25A81" w14:textId="03AC4971" w:rsidR="00103450" w:rsidRDefault="00103450" w:rsidP="00103450">
      <w:pPr>
        <w:numPr>
          <w:ilvl w:val="0"/>
          <w:numId w:val="48"/>
        </w:numPr>
        <w:rPr>
          <w:b/>
          <w:bCs/>
          <w:sz w:val="20"/>
          <w:szCs w:val="20"/>
        </w:rPr>
      </w:pPr>
      <w:r w:rsidRPr="00103450">
        <w:rPr>
          <w:b/>
          <w:bCs/>
          <w:sz w:val="20"/>
          <w:szCs w:val="20"/>
        </w:rPr>
        <w:t xml:space="preserve">When indicated in SIB1 that LBT is required before all transmission, UE can </w:t>
      </w:r>
      <w:r w:rsidR="00B0244D">
        <w:rPr>
          <w:b/>
          <w:bCs/>
          <w:sz w:val="20"/>
          <w:szCs w:val="20"/>
        </w:rPr>
        <w:t xml:space="preserve">perform </w:t>
      </w:r>
      <w:r w:rsidRPr="00103450">
        <w:rPr>
          <w:b/>
          <w:bCs/>
          <w:sz w:val="20"/>
          <w:szCs w:val="20"/>
        </w:rPr>
        <w:t>type 1 LBT to type 2 LBT depending on UE capability</w:t>
      </w:r>
      <w:r>
        <w:rPr>
          <w:b/>
          <w:bCs/>
          <w:sz w:val="20"/>
          <w:szCs w:val="20"/>
        </w:rPr>
        <w:t>, regardless COT information</w:t>
      </w:r>
      <w:r w:rsidRPr="00103450">
        <w:rPr>
          <w:b/>
          <w:bCs/>
          <w:sz w:val="20"/>
          <w:szCs w:val="20"/>
        </w:rPr>
        <w:t>.</w:t>
      </w:r>
    </w:p>
    <w:p w14:paraId="1119D583" w14:textId="6474AAB9" w:rsidR="00F96E19" w:rsidRDefault="00103450" w:rsidP="00B0244D">
      <w:pPr>
        <w:numPr>
          <w:ilvl w:val="0"/>
          <w:numId w:val="48"/>
        </w:numPr>
        <w:rPr>
          <w:b/>
          <w:bCs/>
          <w:szCs w:val="20"/>
        </w:rPr>
      </w:pPr>
      <w:r w:rsidRPr="00103450">
        <w:rPr>
          <w:b/>
          <w:bCs/>
          <w:sz w:val="20"/>
          <w:szCs w:val="20"/>
        </w:rPr>
        <w:t>Otherwise</w:t>
      </w:r>
      <w:r w:rsidRPr="00103450">
        <w:rPr>
          <w:b/>
          <w:bCs/>
          <w:sz w:val="20"/>
          <w:szCs w:val="20"/>
        </w:rPr>
        <w:t xml:space="preserve">, UE can upgrade type 1 LBT to type 3 LBT if the transmission is within gNB initiated COT. </w:t>
      </w:r>
      <w:r w:rsidR="00B0244D">
        <w:rPr>
          <w:b/>
          <w:bCs/>
          <w:sz w:val="20"/>
          <w:szCs w:val="20"/>
        </w:rPr>
        <w:t xml:space="preserve"> </w:t>
      </w:r>
    </w:p>
    <w:p w14:paraId="5AF83548" w14:textId="7F20F3E7" w:rsidR="00E05F2A" w:rsidRDefault="00E05F2A" w:rsidP="00931D47">
      <w:pPr>
        <w:rPr>
          <w:b/>
          <w:bCs/>
          <w:sz w:val="20"/>
          <w:szCs w:val="20"/>
        </w:rPr>
      </w:pPr>
    </w:p>
    <w:p w14:paraId="343BBCDA" w14:textId="4EF20B2F" w:rsidR="00577F20" w:rsidRDefault="00E05F2A" w:rsidP="00931D47">
      <w:pPr>
        <w:rPr>
          <w:sz w:val="20"/>
          <w:szCs w:val="20"/>
        </w:rPr>
      </w:pPr>
      <w:r>
        <w:rPr>
          <w:sz w:val="20"/>
          <w:szCs w:val="20"/>
        </w:rPr>
        <w:lastRenderedPageBreak/>
        <w:t>In region</w:t>
      </w:r>
      <w:r w:rsidR="00243A5E">
        <w:rPr>
          <w:sz w:val="20"/>
          <w:szCs w:val="20"/>
        </w:rPr>
        <w:t>s</w:t>
      </w:r>
      <w:r>
        <w:rPr>
          <w:sz w:val="20"/>
          <w:szCs w:val="20"/>
        </w:rPr>
        <w:t xml:space="preserve"> where LBT is not mandated, it has been agreed that both cell specific or UE specific RRC indication can be used to signal whether the gNB-UE link operate in LBT mode or not. In 107-e, questions </w:t>
      </w:r>
      <w:r w:rsidR="00AE74A2">
        <w:rPr>
          <w:sz w:val="20"/>
          <w:szCs w:val="20"/>
        </w:rPr>
        <w:t xml:space="preserve">were </w:t>
      </w:r>
      <w:r>
        <w:rPr>
          <w:sz w:val="20"/>
          <w:szCs w:val="20"/>
        </w:rPr>
        <w:t xml:space="preserve">raised whether this indication applies to UE only or applies to gNB. If it applies to gNB, it is not clear when UE-gNB link with LBT and without LBT indication are </w:t>
      </w:r>
      <w:proofErr w:type="spellStart"/>
      <w:r>
        <w:rPr>
          <w:sz w:val="20"/>
          <w:szCs w:val="20"/>
        </w:rPr>
        <w:t>FDMed</w:t>
      </w:r>
      <w:proofErr w:type="spellEnd"/>
      <w:r>
        <w:rPr>
          <w:sz w:val="20"/>
          <w:szCs w:val="20"/>
        </w:rPr>
        <w:t xml:space="preserve"> together, whether </w:t>
      </w:r>
      <w:r w:rsidR="00AE74A2">
        <w:rPr>
          <w:sz w:val="20"/>
          <w:szCs w:val="20"/>
        </w:rPr>
        <w:t xml:space="preserve">the </w:t>
      </w:r>
      <w:r>
        <w:rPr>
          <w:sz w:val="20"/>
          <w:szCs w:val="20"/>
        </w:rPr>
        <w:t>gNB perform</w:t>
      </w:r>
      <w:r w:rsidR="00AE74A2">
        <w:rPr>
          <w:sz w:val="20"/>
          <w:szCs w:val="20"/>
        </w:rPr>
        <w:t>s</w:t>
      </w:r>
      <w:r>
        <w:rPr>
          <w:sz w:val="20"/>
          <w:szCs w:val="20"/>
        </w:rPr>
        <w:t xml:space="preserve"> LBT or not. Since this is</w:t>
      </w:r>
      <w:r w:rsidR="00243A5E">
        <w:rPr>
          <w:sz w:val="20"/>
          <w:szCs w:val="20"/>
        </w:rPr>
        <w:t xml:space="preserve"> </w:t>
      </w:r>
      <w:r w:rsidR="00AE74A2">
        <w:rPr>
          <w:sz w:val="20"/>
          <w:szCs w:val="20"/>
        </w:rPr>
        <w:t xml:space="preserve">in </w:t>
      </w:r>
      <w:r w:rsidR="00243A5E">
        <w:rPr>
          <w:sz w:val="20"/>
          <w:szCs w:val="20"/>
        </w:rPr>
        <w:t>a</w:t>
      </w:r>
      <w:r>
        <w:rPr>
          <w:sz w:val="20"/>
          <w:szCs w:val="20"/>
        </w:rPr>
        <w:t xml:space="preserve"> region where LBT is not mandated, to simplify UE implementation, the UE-gNB LBT indication is applied to UE only</w:t>
      </w:r>
      <w:r w:rsidR="00AE74A2">
        <w:rPr>
          <w:sz w:val="20"/>
          <w:szCs w:val="20"/>
        </w:rPr>
        <w:t xml:space="preserve"> the </w:t>
      </w:r>
      <w:r>
        <w:rPr>
          <w:sz w:val="20"/>
          <w:szCs w:val="20"/>
        </w:rPr>
        <w:t xml:space="preserve">UE can always assume the SSB, CSI-RS are transmitted for </w:t>
      </w:r>
      <w:r w:rsidR="00577F20">
        <w:rPr>
          <w:sz w:val="20"/>
          <w:szCs w:val="20"/>
        </w:rPr>
        <w:t xml:space="preserve">RRM/RLM and beam management etc. </w:t>
      </w:r>
    </w:p>
    <w:p w14:paraId="18C988D4" w14:textId="77777777" w:rsidR="00577F20" w:rsidRDefault="00577F20" w:rsidP="00931D47">
      <w:pPr>
        <w:rPr>
          <w:sz w:val="20"/>
          <w:szCs w:val="20"/>
        </w:rPr>
      </w:pPr>
    </w:p>
    <w:p w14:paraId="2E39E293" w14:textId="22EDA79E" w:rsidR="00E05F2A" w:rsidRPr="00B0244D" w:rsidRDefault="00577F20" w:rsidP="00931D47">
      <w:pPr>
        <w:rPr>
          <w:b/>
          <w:bCs/>
          <w:sz w:val="20"/>
          <w:szCs w:val="20"/>
        </w:rPr>
      </w:pPr>
      <w:r w:rsidRPr="00B0244D">
        <w:rPr>
          <w:b/>
          <w:bCs/>
          <w:sz w:val="20"/>
          <w:szCs w:val="20"/>
        </w:rPr>
        <w:t xml:space="preserve">Proposal </w:t>
      </w:r>
      <w:r w:rsidR="00B0244D" w:rsidRPr="00B0244D">
        <w:rPr>
          <w:b/>
          <w:bCs/>
          <w:sz w:val="20"/>
          <w:szCs w:val="20"/>
        </w:rPr>
        <w:t>5</w:t>
      </w:r>
      <w:r w:rsidRPr="00B0244D">
        <w:rPr>
          <w:b/>
          <w:bCs/>
          <w:sz w:val="20"/>
          <w:szCs w:val="20"/>
        </w:rPr>
        <w:t>: In region</w:t>
      </w:r>
      <w:r w:rsidR="00243A5E" w:rsidRPr="00B0244D">
        <w:rPr>
          <w:b/>
          <w:bCs/>
          <w:sz w:val="20"/>
          <w:szCs w:val="20"/>
        </w:rPr>
        <w:t>s</w:t>
      </w:r>
      <w:r w:rsidRPr="00B0244D">
        <w:rPr>
          <w:b/>
          <w:bCs/>
          <w:sz w:val="20"/>
          <w:szCs w:val="20"/>
        </w:rPr>
        <w:t xml:space="preserve"> where no LBT is mandated, the UE specific RRC LBT mode indication applies to UE only. The UE can assume SSB</w:t>
      </w:r>
      <w:r w:rsidR="00B0244D" w:rsidRPr="00B0244D">
        <w:rPr>
          <w:b/>
          <w:bCs/>
          <w:sz w:val="20"/>
          <w:szCs w:val="20"/>
        </w:rPr>
        <w:t>,</w:t>
      </w:r>
      <w:r w:rsidRPr="00B0244D">
        <w:rPr>
          <w:b/>
          <w:bCs/>
          <w:sz w:val="20"/>
          <w:szCs w:val="20"/>
        </w:rPr>
        <w:t xml:space="preserve"> CSI-RS are always transmitted for RRM/RLM and beam management.</w:t>
      </w:r>
    </w:p>
    <w:p w14:paraId="67CF849D" w14:textId="124418FD" w:rsidR="006E1EE9" w:rsidRDefault="00577F20" w:rsidP="00B0244D">
      <w:pPr>
        <w:pStyle w:val="0Maintext"/>
        <w:spacing w:after="120"/>
        <w:ind w:firstLine="0"/>
        <w:jc w:val="left"/>
        <w:rPr>
          <w:rFonts w:eastAsia="SimSun"/>
        </w:rPr>
      </w:pPr>
      <w:r>
        <w:rPr>
          <w:b/>
          <w:i/>
        </w:rPr>
        <w:t xml:space="preserve"> </w:t>
      </w:r>
    </w:p>
    <w:p w14:paraId="0C48F50B" w14:textId="77777777" w:rsidR="003F39FF" w:rsidRPr="003F39FF" w:rsidRDefault="003F39FF" w:rsidP="007B3CA9">
      <w:pPr>
        <w:rPr>
          <w:rFonts w:cs="Batang"/>
          <w:b/>
          <w:i/>
          <w:sz w:val="20"/>
          <w:szCs w:val="20"/>
          <w:lang w:val="en-GB" w:eastAsia="en-US"/>
        </w:rPr>
      </w:pPr>
    </w:p>
    <w:p w14:paraId="022777CA" w14:textId="3130A35F" w:rsidR="00041988" w:rsidRDefault="00C84FE2" w:rsidP="003105DC">
      <w:pPr>
        <w:pStyle w:val="Heading1"/>
      </w:pPr>
      <w:r>
        <w:t>Conclusion</w:t>
      </w:r>
    </w:p>
    <w:p w14:paraId="3381097D" w14:textId="2A6A3659" w:rsidR="00D80A4B" w:rsidRDefault="00D80A4B" w:rsidP="00D80A4B">
      <w:pPr>
        <w:pStyle w:val="0Maintext"/>
        <w:spacing w:after="120" w:afterAutospacing="0" w:line="240" w:lineRule="auto"/>
        <w:ind w:firstLine="0"/>
        <w:rPr>
          <w:lang w:val="en-US"/>
        </w:rPr>
      </w:pPr>
      <w:r>
        <w:rPr>
          <w:lang w:val="en-US"/>
        </w:rPr>
        <w:t xml:space="preserve">In the paper, we discuss remaining details on channel access for unlicensed band operation. The proposals are: </w:t>
      </w:r>
    </w:p>
    <w:p w14:paraId="0A4BF76D" w14:textId="77777777" w:rsidR="00B0244D" w:rsidRPr="00103450" w:rsidRDefault="00B0244D" w:rsidP="00B0244D">
      <w:pPr>
        <w:tabs>
          <w:tab w:val="left" w:pos="640"/>
        </w:tabs>
        <w:rPr>
          <w:b/>
          <w:bCs/>
          <w:sz w:val="20"/>
          <w:szCs w:val="20"/>
        </w:rPr>
      </w:pPr>
      <w:r w:rsidRPr="00103450">
        <w:rPr>
          <w:b/>
          <w:bCs/>
          <w:sz w:val="20"/>
          <w:szCs w:val="20"/>
        </w:rPr>
        <w:t xml:space="preserve">Proposal 1: Add </w:t>
      </w:r>
      <w:proofErr w:type="gramStart"/>
      <w:r w:rsidRPr="00103450">
        <w:rPr>
          <w:b/>
          <w:bCs/>
          <w:sz w:val="20"/>
          <w:szCs w:val="20"/>
        </w:rPr>
        <w:t>one bit</w:t>
      </w:r>
      <w:proofErr w:type="gramEnd"/>
      <w:r w:rsidRPr="00103450">
        <w:rPr>
          <w:b/>
          <w:bCs/>
          <w:sz w:val="20"/>
          <w:szCs w:val="20"/>
        </w:rPr>
        <w:t xml:space="preserve"> SIB1 signaling indicating LBT is required before all transmission (i.e. Japan).   </w:t>
      </w:r>
    </w:p>
    <w:p w14:paraId="1F5FBBE9" w14:textId="77777777" w:rsidR="00B0244D" w:rsidRDefault="00B0244D" w:rsidP="00B0244D">
      <w:pPr>
        <w:tabs>
          <w:tab w:val="left" w:pos="640"/>
        </w:tabs>
        <w:rPr>
          <w:b/>
          <w:bCs/>
          <w:sz w:val="20"/>
          <w:szCs w:val="20"/>
        </w:rPr>
      </w:pPr>
    </w:p>
    <w:p w14:paraId="36B88CAC" w14:textId="77777777" w:rsidR="00B0244D" w:rsidRDefault="00B0244D" w:rsidP="00B0244D">
      <w:pPr>
        <w:tabs>
          <w:tab w:val="left" w:pos="640"/>
        </w:tabs>
        <w:rPr>
          <w:b/>
          <w:bCs/>
          <w:sz w:val="20"/>
          <w:szCs w:val="20"/>
        </w:rPr>
      </w:pPr>
      <w:r w:rsidRPr="00103450">
        <w:rPr>
          <w:b/>
          <w:bCs/>
          <w:sz w:val="20"/>
          <w:szCs w:val="20"/>
        </w:rPr>
        <w:t>Proposal 2: RACH msg 1 or msg A transmission</w:t>
      </w:r>
    </w:p>
    <w:p w14:paraId="60F970B5" w14:textId="77777777" w:rsidR="00B0244D" w:rsidRDefault="00B0244D" w:rsidP="00B0244D">
      <w:pPr>
        <w:pStyle w:val="ListParagraph"/>
        <w:numPr>
          <w:ilvl w:val="0"/>
          <w:numId w:val="45"/>
        </w:numPr>
        <w:tabs>
          <w:tab w:val="left" w:pos="640"/>
        </w:tabs>
        <w:ind w:leftChars="0"/>
        <w:rPr>
          <w:b/>
          <w:bCs/>
          <w:szCs w:val="20"/>
        </w:rPr>
      </w:pPr>
      <w:r w:rsidRPr="00103450">
        <w:rPr>
          <w:b/>
          <w:bCs/>
          <w:szCs w:val="20"/>
        </w:rPr>
        <w:t xml:space="preserve">When indicated in SIB1 that LBT is required before all transmission, Type </w:t>
      </w:r>
      <w:proofErr w:type="gramStart"/>
      <w:r w:rsidRPr="00103450">
        <w:rPr>
          <w:b/>
          <w:bCs/>
          <w:szCs w:val="20"/>
        </w:rPr>
        <w:t>1</w:t>
      </w:r>
      <w:proofErr w:type="gramEnd"/>
      <w:r w:rsidRPr="00103450">
        <w:rPr>
          <w:b/>
          <w:bCs/>
          <w:szCs w:val="20"/>
        </w:rPr>
        <w:t xml:space="preserve"> or type 2 LBT can be performed depending on UE capability.   </w:t>
      </w:r>
    </w:p>
    <w:p w14:paraId="5C65C1DE" w14:textId="77777777" w:rsidR="00B0244D" w:rsidRPr="00103450" w:rsidRDefault="00B0244D" w:rsidP="00B0244D">
      <w:pPr>
        <w:pStyle w:val="ListParagraph"/>
        <w:numPr>
          <w:ilvl w:val="0"/>
          <w:numId w:val="45"/>
        </w:numPr>
        <w:tabs>
          <w:tab w:val="left" w:pos="640"/>
        </w:tabs>
        <w:ind w:leftChars="0"/>
        <w:rPr>
          <w:b/>
          <w:bCs/>
          <w:szCs w:val="20"/>
        </w:rPr>
      </w:pPr>
      <w:r w:rsidRPr="00103450">
        <w:rPr>
          <w:b/>
          <w:bCs/>
          <w:szCs w:val="20"/>
        </w:rPr>
        <w:t xml:space="preserve">Otherwise type 3 can be used.  </w:t>
      </w:r>
    </w:p>
    <w:p w14:paraId="46CB53FD" w14:textId="77777777" w:rsidR="00B0244D" w:rsidRDefault="00B0244D" w:rsidP="00B0244D">
      <w:pPr>
        <w:tabs>
          <w:tab w:val="left" w:pos="640"/>
        </w:tabs>
        <w:rPr>
          <w:b/>
          <w:bCs/>
          <w:sz w:val="20"/>
          <w:szCs w:val="20"/>
          <w:lang w:val="en-GB"/>
        </w:rPr>
      </w:pPr>
    </w:p>
    <w:p w14:paraId="0161F1CC" w14:textId="77777777" w:rsidR="00B0244D" w:rsidRDefault="00B0244D" w:rsidP="00B0244D">
      <w:pPr>
        <w:tabs>
          <w:tab w:val="left" w:pos="640"/>
        </w:tabs>
        <w:rPr>
          <w:b/>
          <w:bCs/>
          <w:sz w:val="20"/>
          <w:szCs w:val="20"/>
        </w:rPr>
      </w:pPr>
      <w:r w:rsidRPr="00103450">
        <w:rPr>
          <w:b/>
          <w:bCs/>
          <w:sz w:val="20"/>
          <w:szCs w:val="20"/>
        </w:rPr>
        <w:t xml:space="preserve">Proposal 3: </w:t>
      </w:r>
      <w:proofErr w:type="gramStart"/>
      <w:r w:rsidRPr="00103450">
        <w:rPr>
          <w:b/>
          <w:bCs/>
          <w:sz w:val="20"/>
          <w:szCs w:val="20"/>
        </w:rPr>
        <w:t>1 bit</w:t>
      </w:r>
      <w:proofErr w:type="gramEnd"/>
      <w:r w:rsidRPr="00103450">
        <w:rPr>
          <w:b/>
          <w:bCs/>
          <w:sz w:val="20"/>
          <w:szCs w:val="20"/>
        </w:rPr>
        <w:t xml:space="preserve"> CCA indication in fall back DCI </w:t>
      </w:r>
    </w:p>
    <w:p w14:paraId="2585CD44" w14:textId="77777777" w:rsidR="00B0244D" w:rsidRDefault="00B0244D" w:rsidP="00B0244D">
      <w:pPr>
        <w:pStyle w:val="ListParagraph"/>
        <w:numPr>
          <w:ilvl w:val="0"/>
          <w:numId w:val="47"/>
        </w:numPr>
        <w:tabs>
          <w:tab w:val="left" w:pos="640"/>
        </w:tabs>
        <w:ind w:leftChars="0"/>
        <w:rPr>
          <w:b/>
          <w:bCs/>
          <w:szCs w:val="20"/>
        </w:rPr>
      </w:pPr>
      <w:r w:rsidRPr="00103450">
        <w:rPr>
          <w:b/>
          <w:bCs/>
          <w:szCs w:val="20"/>
        </w:rPr>
        <w:t>When indicated in SIB1 that LBT is required before all transmission, UE can determine whether type 1 or type 2 can be performed depending on UE capability.</w:t>
      </w:r>
    </w:p>
    <w:p w14:paraId="19207F5A" w14:textId="77777777" w:rsidR="00B0244D" w:rsidRDefault="00B0244D" w:rsidP="00B0244D">
      <w:pPr>
        <w:pStyle w:val="ListParagraph"/>
        <w:numPr>
          <w:ilvl w:val="0"/>
          <w:numId w:val="47"/>
        </w:numPr>
        <w:tabs>
          <w:tab w:val="left" w:pos="640"/>
        </w:tabs>
        <w:ind w:leftChars="0"/>
        <w:rPr>
          <w:b/>
          <w:bCs/>
          <w:szCs w:val="20"/>
        </w:rPr>
      </w:pPr>
      <w:r w:rsidRPr="00103450">
        <w:rPr>
          <w:b/>
          <w:bCs/>
          <w:szCs w:val="20"/>
        </w:rPr>
        <w:t xml:space="preserve">Otherwise, follow type 1 or type 3 LBT indication in DCI. </w:t>
      </w:r>
    </w:p>
    <w:p w14:paraId="0EC24FEA" w14:textId="77777777" w:rsidR="00B0244D" w:rsidRDefault="00B0244D" w:rsidP="00B0244D">
      <w:pPr>
        <w:pStyle w:val="ListParagraph"/>
        <w:tabs>
          <w:tab w:val="left" w:pos="640"/>
        </w:tabs>
        <w:ind w:leftChars="0" w:left="720" w:firstLine="0"/>
        <w:rPr>
          <w:b/>
          <w:bCs/>
          <w:szCs w:val="20"/>
        </w:rPr>
      </w:pPr>
    </w:p>
    <w:p w14:paraId="4F808648" w14:textId="77777777" w:rsidR="00B0244D" w:rsidRDefault="00B0244D" w:rsidP="00B0244D">
      <w:pPr>
        <w:tabs>
          <w:tab w:val="left" w:pos="640"/>
        </w:tabs>
        <w:rPr>
          <w:b/>
          <w:bCs/>
          <w:sz w:val="20"/>
          <w:szCs w:val="20"/>
        </w:rPr>
      </w:pPr>
      <w:r w:rsidRPr="00103450">
        <w:rPr>
          <w:b/>
          <w:bCs/>
          <w:sz w:val="20"/>
          <w:szCs w:val="20"/>
        </w:rPr>
        <w:t>Proposal 4: UE LBT upgrade behavior</w:t>
      </w:r>
    </w:p>
    <w:p w14:paraId="10AC582E" w14:textId="77777777" w:rsidR="00B0244D" w:rsidRDefault="00B0244D" w:rsidP="00B0244D">
      <w:pPr>
        <w:numPr>
          <w:ilvl w:val="0"/>
          <w:numId w:val="48"/>
        </w:numPr>
        <w:rPr>
          <w:b/>
          <w:bCs/>
          <w:sz w:val="20"/>
          <w:szCs w:val="20"/>
        </w:rPr>
      </w:pPr>
      <w:r w:rsidRPr="00103450">
        <w:rPr>
          <w:b/>
          <w:bCs/>
          <w:sz w:val="20"/>
          <w:szCs w:val="20"/>
        </w:rPr>
        <w:t xml:space="preserve">When indicated in SIB1 that LBT is required before all transmission, UE can </w:t>
      </w:r>
      <w:r>
        <w:rPr>
          <w:b/>
          <w:bCs/>
          <w:sz w:val="20"/>
          <w:szCs w:val="20"/>
        </w:rPr>
        <w:t xml:space="preserve">perform </w:t>
      </w:r>
      <w:r w:rsidRPr="00103450">
        <w:rPr>
          <w:b/>
          <w:bCs/>
          <w:sz w:val="20"/>
          <w:szCs w:val="20"/>
        </w:rPr>
        <w:t>type 1 LBT to type 2 LBT depending on UE capability</w:t>
      </w:r>
      <w:r>
        <w:rPr>
          <w:b/>
          <w:bCs/>
          <w:sz w:val="20"/>
          <w:szCs w:val="20"/>
        </w:rPr>
        <w:t>, regardless COT information</w:t>
      </w:r>
      <w:r w:rsidRPr="00103450">
        <w:rPr>
          <w:b/>
          <w:bCs/>
          <w:sz w:val="20"/>
          <w:szCs w:val="20"/>
        </w:rPr>
        <w:t>.</w:t>
      </w:r>
    </w:p>
    <w:p w14:paraId="3EBF9A9A" w14:textId="77777777" w:rsidR="00B0244D" w:rsidRDefault="00B0244D" w:rsidP="00B0244D">
      <w:pPr>
        <w:numPr>
          <w:ilvl w:val="0"/>
          <w:numId w:val="48"/>
        </w:numPr>
        <w:rPr>
          <w:b/>
          <w:bCs/>
          <w:szCs w:val="20"/>
        </w:rPr>
      </w:pPr>
      <w:r w:rsidRPr="00103450">
        <w:rPr>
          <w:b/>
          <w:bCs/>
          <w:sz w:val="20"/>
          <w:szCs w:val="20"/>
        </w:rPr>
        <w:t xml:space="preserve">Otherwise, UE can upgrade type 1 LBT to type 3 LBT if the transmission is within gNB initiated COT. </w:t>
      </w:r>
      <w:r>
        <w:rPr>
          <w:b/>
          <w:bCs/>
          <w:sz w:val="20"/>
          <w:szCs w:val="20"/>
        </w:rPr>
        <w:t xml:space="preserve"> </w:t>
      </w:r>
    </w:p>
    <w:p w14:paraId="54CEF0E7" w14:textId="77777777" w:rsidR="00D80A4B" w:rsidRDefault="00D80A4B" w:rsidP="00D80A4B">
      <w:pPr>
        <w:rPr>
          <w:b/>
          <w:bCs/>
          <w:sz w:val="20"/>
          <w:szCs w:val="20"/>
        </w:rPr>
      </w:pPr>
    </w:p>
    <w:p w14:paraId="58ACB1F6" w14:textId="77777777" w:rsidR="003E545A" w:rsidRPr="00B0244D" w:rsidRDefault="003E545A" w:rsidP="003E545A">
      <w:pPr>
        <w:rPr>
          <w:b/>
          <w:bCs/>
          <w:sz w:val="20"/>
          <w:szCs w:val="20"/>
        </w:rPr>
      </w:pPr>
      <w:r w:rsidRPr="00B0244D">
        <w:rPr>
          <w:b/>
          <w:bCs/>
          <w:sz w:val="20"/>
          <w:szCs w:val="20"/>
        </w:rPr>
        <w:t>Proposal 5: In regions where no LBT is mandated, the UE specific RRC LBT mode indication applies to UE only. The UE can assume SSB, CSI-RS are always transmitted for RRM/RLM and beam management.</w:t>
      </w:r>
    </w:p>
    <w:p w14:paraId="33C62396" w14:textId="77777777" w:rsidR="00484379" w:rsidRPr="00D80A4B" w:rsidRDefault="00484379" w:rsidP="009E2BA6">
      <w:pPr>
        <w:pStyle w:val="0Maintext"/>
        <w:spacing w:after="120"/>
        <w:ind w:firstLine="0"/>
        <w:jc w:val="left"/>
        <w:rPr>
          <w:b/>
          <w:i/>
          <w:lang w:val="en-US"/>
        </w:rPr>
      </w:pPr>
    </w:p>
    <w:p w14:paraId="2A5BA4DC" w14:textId="77777777" w:rsidR="002134C9" w:rsidRDefault="002134C9" w:rsidP="002134C9">
      <w:pPr>
        <w:pStyle w:val="Heading1"/>
      </w:pPr>
      <w:r>
        <w:t>Reference</w:t>
      </w:r>
    </w:p>
    <w:p w14:paraId="5A8EB573" w14:textId="77777777" w:rsid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bookmarkStart w:id="0" w:name="_Ref16773966"/>
      <w:r w:rsidRPr="00086626">
        <w:rPr>
          <w:rFonts w:cs="Batang"/>
          <w:sz w:val="20"/>
          <w:szCs w:val="20"/>
          <w:lang w:val="en-GB" w:eastAsia="en-US"/>
        </w:rPr>
        <w:t xml:space="preserve">[1] </w:t>
      </w:r>
      <w:r w:rsidR="004B5BF1" w:rsidRPr="00086626">
        <w:rPr>
          <w:rFonts w:cs="Batang"/>
          <w:sz w:val="20"/>
          <w:szCs w:val="20"/>
          <w:lang w:val="en-GB" w:eastAsia="en-US"/>
        </w:rPr>
        <w:t>RP-20</w:t>
      </w:r>
      <w:r w:rsidR="00353ED0" w:rsidRPr="00086626">
        <w:rPr>
          <w:rFonts w:cs="Batang"/>
          <w:sz w:val="20"/>
          <w:szCs w:val="20"/>
          <w:lang w:val="en-GB" w:eastAsia="en-US"/>
        </w:rPr>
        <w:t>2925</w:t>
      </w:r>
      <w:r w:rsidR="004B5BF1" w:rsidRPr="00086626">
        <w:rPr>
          <w:rFonts w:cs="Batang"/>
          <w:sz w:val="20"/>
          <w:szCs w:val="20"/>
          <w:lang w:val="en-GB" w:eastAsia="en-US"/>
        </w:rPr>
        <w:t xml:space="preserve">, </w:t>
      </w:r>
      <w:r w:rsidR="00353ED0" w:rsidRPr="00086626">
        <w:rPr>
          <w:rFonts w:cs="Batang"/>
          <w:sz w:val="20"/>
          <w:szCs w:val="20"/>
          <w:lang w:val="en-GB" w:eastAsia="en-US"/>
        </w:rPr>
        <w:t>Revised WID: Extending current NR operation to 71GHz</w:t>
      </w:r>
      <w:r w:rsidR="004B5BF1" w:rsidRPr="00086626">
        <w:rPr>
          <w:rFonts w:cs="Batang"/>
          <w:sz w:val="20"/>
          <w:szCs w:val="20"/>
          <w:lang w:val="en-GB" w:eastAsia="en-US"/>
        </w:rPr>
        <w:t xml:space="preserve">, </w:t>
      </w:r>
      <w:r w:rsidR="00353ED0" w:rsidRPr="00086626">
        <w:rPr>
          <w:rFonts w:cs="Batang"/>
          <w:sz w:val="20"/>
          <w:szCs w:val="20"/>
          <w:lang w:val="en-GB" w:eastAsia="en-US"/>
        </w:rPr>
        <w:t>CMCC</w:t>
      </w:r>
      <w:r w:rsidR="004B5BF1" w:rsidRPr="00086626">
        <w:rPr>
          <w:rFonts w:cs="Batang"/>
          <w:sz w:val="20"/>
          <w:szCs w:val="20"/>
          <w:lang w:val="en-GB" w:eastAsia="en-US"/>
        </w:rPr>
        <w:t xml:space="preserve">, </w:t>
      </w:r>
      <w:bookmarkEnd w:id="0"/>
      <w:r w:rsidR="00353ED0" w:rsidRPr="00086626">
        <w:rPr>
          <w:rFonts w:cs="Batang"/>
          <w:sz w:val="20"/>
          <w:szCs w:val="20"/>
          <w:lang w:val="en-GB" w:eastAsia="en-US"/>
        </w:rPr>
        <w:t xml:space="preserve">Dec </w:t>
      </w:r>
      <w:r w:rsidR="004B5BF1" w:rsidRPr="00086626">
        <w:rPr>
          <w:rFonts w:cs="Batang"/>
          <w:sz w:val="20"/>
          <w:szCs w:val="20"/>
          <w:lang w:val="en-GB" w:eastAsia="en-US"/>
        </w:rPr>
        <w:t>2020</w:t>
      </w:r>
    </w:p>
    <w:p w14:paraId="13DE2B2E" w14:textId="77777777" w:rsidR="001B5B76" w:rsidRDefault="0008662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[2] </w:t>
      </w:r>
      <w:r w:rsidR="00353ED0" w:rsidRPr="00086626">
        <w:rPr>
          <w:rFonts w:cs="Batang"/>
          <w:sz w:val="20"/>
          <w:szCs w:val="20"/>
          <w:lang w:val="en-GB" w:eastAsia="en-US"/>
        </w:rPr>
        <w:t>3GPP TR 38.808 v1</w:t>
      </w:r>
      <w:r w:rsidR="008D4078" w:rsidRPr="00086626">
        <w:rPr>
          <w:rFonts w:cs="Batang"/>
          <w:sz w:val="20"/>
          <w:szCs w:val="20"/>
          <w:lang w:val="en-GB" w:eastAsia="en-US"/>
        </w:rPr>
        <w:t>7</w:t>
      </w:r>
      <w:r w:rsidR="00353ED0" w:rsidRPr="00086626">
        <w:rPr>
          <w:rFonts w:cs="Batang"/>
          <w:sz w:val="20"/>
          <w:szCs w:val="20"/>
          <w:lang w:val="en-GB" w:eastAsia="en-US"/>
        </w:rPr>
        <w:t>.0.0, Study on supporting NR from 52.6GHz to 71GHz</w:t>
      </w:r>
      <w:r w:rsidR="008D4078" w:rsidRPr="00086626">
        <w:rPr>
          <w:rFonts w:cs="Batang"/>
          <w:sz w:val="20"/>
          <w:szCs w:val="20"/>
          <w:lang w:val="en-GB" w:eastAsia="en-US"/>
        </w:rPr>
        <w:t>, 2021-03</w:t>
      </w:r>
      <w:r w:rsidR="00353ED0" w:rsidRPr="00086626">
        <w:rPr>
          <w:rFonts w:cs="Batang"/>
          <w:sz w:val="20"/>
          <w:szCs w:val="20"/>
          <w:lang w:val="en-GB" w:eastAsia="en-US"/>
        </w:rPr>
        <w:t xml:space="preserve"> </w:t>
      </w:r>
    </w:p>
    <w:p w14:paraId="4C6A934A" w14:textId="5018284A" w:rsidR="001B5B76" w:rsidRPr="001B5B76" w:rsidRDefault="001B5B7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[3] </w:t>
      </w:r>
      <w:r w:rsidRPr="001B5B76">
        <w:rPr>
          <w:rFonts w:cs="Batang"/>
          <w:sz w:val="20"/>
          <w:szCs w:val="20"/>
          <w:lang w:val="en-GB" w:eastAsia="en-US"/>
        </w:rPr>
        <w:t>Chairman Notes, 3GPP TSG RAN WG1 Meeting #10</w:t>
      </w:r>
      <w:r w:rsidR="00577F20">
        <w:rPr>
          <w:rFonts w:cs="Batang"/>
          <w:sz w:val="20"/>
          <w:szCs w:val="20"/>
          <w:lang w:val="en-GB" w:eastAsia="en-US"/>
        </w:rPr>
        <w:t>7</w:t>
      </w:r>
      <w:r w:rsidRPr="001B5B76">
        <w:rPr>
          <w:rFonts w:cs="Batang"/>
          <w:sz w:val="20"/>
          <w:szCs w:val="20"/>
          <w:lang w:val="en-GB" w:eastAsia="en-US"/>
        </w:rPr>
        <w:t xml:space="preserve">-e, e-Meeting, </w:t>
      </w:r>
      <w:r w:rsidR="00577F20">
        <w:rPr>
          <w:rFonts w:cs="Batang"/>
          <w:sz w:val="20"/>
          <w:szCs w:val="20"/>
          <w:lang w:val="en-GB" w:eastAsia="en-US"/>
        </w:rPr>
        <w:t>Nov</w:t>
      </w:r>
      <w:r w:rsidRPr="001B5B76">
        <w:rPr>
          <w:rFonts w:cs="Batang"/>
          <w:sz w:val="20"/>
          <w:szCs w:val="20"/>
          <w:lang w:val="en-GB" w:eastAsia="en-US"/>
        </w:rPr>
        <w:t xml:space="preserve"> </w:t>
      </w:r>
      <w:r w:rsidR="005619EF">
        <w:rPr>
          <w:rFonts w:cs="Batang"/>
          <w:sz w:val="20"/>
          <w:szCs w:val="20"/>
          <w:lang w:val="en-GB" w:eastAsia="en-US"/>
        </w:rPr>
        <w:t>1</w:t>
      </w:r>
      <w:r w:rsidR="001B244A">
        <w:rPr>
          <w:rFonts w:cs="Batang"/>
          <w:sz w:val="20"/>
          <w:szCs w:val="20"/>
          <w:lang w:val="en-GB" w:eastAsia="en-US"/>
        </w:rPr>
        <w:t>1</w:t>
      </w:r>
      <w:r w:rsidRPr="001B5B76">
        <w:rPr>
          <w:rFonts w:cs="Batang"/>
          <w:sz w:val="20"/>
          <w:szCs w:val="20"/>
          <w:lang w:val="en-GB" w:eastAsia="en-US"/>
        </w:rPr>
        <w:t xml:space="preserve">th – </w:t>
      </w:r>
      <w:r w:rsidR="00577F20">
        <w:rPr>
          <w:rFonts w:cs="Batang"/>
          <w:sz w:val="20"/>
          <w:szCs w:val="20"/>
          <w:lang w:val="en-GB" w:eastAsia="en-US"/>
        </w:rPr>
        <w:t>Nov</w:t>
      </w:r>
      <w:r w:rsidRPr="001B5B76">
        <w:rPr>
          <w:rFonts w:cs="Batang"/>
          <w:sz w:val="20"/>
          <w:szCs w:val="20"/>
          <w:lang w:val="en-GB" w:eastAsia="en-US"/>
        </w:rPr>
        <w:t xml:space="preserve"> </w:t>
      </w:r>
      <w:r w:rsidR="001B244A">
        <w:rPr>
          <w:rFonts w:cs="Batang"/>
          <w:sz w:val="20"/>
          <w:szCs w:val="20"/>
          <w:lang w:val="en-GB" w:eastAsia="en-US"/>
        </w:rPr>
        <w:t>19</w:t>
      </w:r>
      <w:r w:rsidRPr="001B5B76">
        <w:rPr>
          <w:rFonts w:cs="Batang"/>
          <w:sz w:val="20"/>
          <w:szCs w:val="20"/>
          <w:lang w:val="en-GB" w:eastAsia="en-US"/>
        </w:rPr>
        <w:t xml:space="preserve">th, 2021    </w:t>
      </w:r>
    </w:p>
    <w:p w14:paraId="61E113B2" w14:textId="2EF04682" w:rsidR="00517022" w:rsidRDefault="00086626" w:rsidP="00517022">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086626">
        <w:rPr>
          <w:rFonts w:cs="Batang"/>
          <w:sz w:val="20"/>
          <w:szCs w:val="20"/>
          <w:lang w:val="en-GB" w:eastAsia="en-US"/>
        </w:rPr>
        <w:t>[</w:t>
      </w:r>
      <w:r w:rsidR="001B5B76">
        <w:rPr>
          <w:rFonts w:cs="Batang"/>
          <w:sz w:val="20"/>
          <w:szCs w:val="20"/>
          <w:lang w:val="en-GB" w:eastAsia="en-US"/>
        </w:rPr>
        <w:t>4</w:t>
      </w:r>
      <w:r w:rsidRPr="00086626">
        <w:rPr>
          <w:rFonts w:cs="Batang"/>
          <w:sz w:val="20"/>
          <w:szCs w:val="20"/>
          <w:lang w:val="en-GB" w:eastAsia="en-US"/>
        </w:rPr>
        <w:t xml:space="preserve">] </w:t>
      </w:r>
      <w:r w:rsidR="00353ED0" w:rsidRPr="00086626">
        <w:rPr>
          <w:rFonts w:cs="Batang"/>
          <w:sz w:val="20"/>
          <w:szCs w:val="20"/>
          <w:lang w:val="en-GB" w:eastAsia="en-US"/>
        </w:rPr>
        <w:t>Draft ETSI EN 302 567 v2.</w:t>
      </w:r>
      <w:r w:rsidR="00E84920" w:rsidRPr="00086626">
        <w:rPr>
          <w:rFonts w:cs="Batang"/>
          <w:sz w:val="20"/>
          <w:szCs w:val="20"/>
          <w:lang w:val="en-GB" w:eastAsia="en-US"/>
        </w:rPr>
        <w:t>2</w:t>
      </w:r>
      <w:r w:rsidR="00353ED0" w:rsidRPr="00086626">
        <w:rPr>
          <w:rFonts w:cs="Batang"/>
          <w:sz w:val="20"/>
          <w:szCs w:val="20"/>
          <w:lang w:val="en-GB" w:eastAsia="en-US"/>
        </w:rPr>
        <w:t>.</w:t>
      </w:r>
      <w:r w:rsidR="00E84920" w:rsidRPr="00086626">
        <w:rPr>
          <w:rFonts w:cs="Batang"/>
          <w:sz w:val="20"/>
          <w:szCs w:val="20"/>
          <w:lang w:val="en-GB" w:eastAsia="en-US"/>
        </w:rPr>
        <w:t>0</w:t>
      </w:r>
      <w:r w:rsidR="00353ED0" w:rsidRPr="00086626">
        <w:rPr>
          <w:rFonts w:cs="Batang"/>
          <w:sz w:val="20"/>
          <w:szCs w:val="20"/>
          <w:lang w:val="en-GB" w:eastAsia="en-US"/>
        </w:rPr>
        <w:t xml:space="preserve"> (202</w:t>
      </w:r>
      <w:r w:rsidR="00E84920" w:rsidRPr="00086626">
        <w:rPr>
          <w:rFonts w:cs="Batang"/>
          <w:sz w:val="20"/>
          <w:szCs w:val="20"/>
          <w:lang w:val="en-GB" w:eastAsia="en-US"/>
        </w:rPr>
        <w:t>1</w:t>
      </w:r>
      <w:r w:rsidR="00353ED0" w:rsidRPr="00086626">
        <w:rPr>
          <w:rFonts w:cs="Batang"/>
          <w:sz w:val="20"/>
          <w:szCs w:val="20"/>
          <w:lang w:val="en-GB" w:eastAsia="en-US"/>
        </w:rPr>
        <w:t>-</w:t>
      </w:r>
      <w:r w:rsidR="00E84920" w:rsidRPr="00086626">
        <w:rPr>
          <w:rFonts w:cs="Batang"/>
          <w:sz w:val="20"/>
          <w:szCs w:val="20"/>
          <w:lang w:val="en-GB" w:eastAsia="en-US"/>
        </w:rPr>
        <w:t>04</w:t>
      </w:r>
      <w:r w:rsidR="00353ED0" w:rsidRPr="00086626">
        <w:rPr>
          <w:rFonts w:cs="Batang"/>
          <w:sz w:val="20"/>
          <w:szCs w:val="20"/>
          <w:lang w:val="en-GB" w:eastAsia="en-US"/>
        </w:rPr>
        <w:t xml:space="preserve">), “Multiple-Gigabit/s radio equipment operating in the 60GHz band: harmonized standard for access to radio spectrum” </w:t>
      </w:r>
    </w:p>
    <w:p w14:paraId="096B201E" w14:textId="391AA7DC" w:rsidR="00517022" w:rsidRDefault="00517022"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517022">
        <w:rPr>
          <w:rFonts w:cs="Batang"/>
          <w:sz w:val="20"/>
          <w:szCs w:val="20"/>
          <w:lang w:val="en-GB" w:eastAsia="en-US"/>
        </w:rPr>
        <w:t>[</w:t>
      </w:r>
      <w:r w:rsidR="001B5B76">
        <w:rPr>
          <w:rFonts w:cs="Batang"/>
          <w:sz w:val="20"/>
          <w:szCs w:val="20"/>
          <w:lang w:val="en-GB" w:eastAsia="en-US"/>
        </w:rPr>
        <w:t>5</w:t>
      </w:r>
      <w:r w:rsidRPr="00517022">
        <w:rPr>
          <w:rFonts w:cs="Batang"/>
          <w:sz w:val="20"/>
          <w:szCs w:val="20"/>
          <w:lang w:val="en-GB" w:eastAsia="en-US"/>
        </w:rPr>
        <w:t>] ETSI EN 301 893, “5 GHz RLAN;</w:t>
      </w:r>
      <w:r>
        <w:rPr>
          <w:rFonts w:cs="Batang"/>
          <w:sz w:val="20"/>
          <w:szCs w:val="20"/>
          <w:lang w:val="en-GB" w:eastAsia="en-US"/>
        </w:rPr>
        <w:t xml:space="preserve"> </w:t>
      </w:r>
      <w:r w:rsidRPr="00517022">
        <w:rPr>
          <w:rFonts w:cs="Batang"/>
          <w:sz w:val="20"/>
          <w:szCs w:val="20"/>
          <w:lang w:val="en-GB" w:eastAsia="en-US"/>
        </w:rPr>
        <w:t>Harmonised Standard covering the essential requirements of article 3.2 of Directive 2014/53/EU”</w:t>
      </w:r>
    </w:p>
    <w:p w14:paraId="098183FB" w14:textId="4EA6744B" w:rsidR="001B5B76" w:rsidRPr="00086626" w:rsidRDefault="001B5B7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p>
    <w:sectPr w:rsidR="001B5B76"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3049" w14:textId="77777777" w:rsidR="0001403A" w:rsidRDefault="0001403A" w:rsidP="00876767">
      <w:r>
        <w:separator/>
      </w:r>
    </w:p>
  </w:endnote>
  <w:endnote w:type="continuationSeparator" w:id="0">
    <w:p w14:paraId="4AB39CAB" w14:textId="77777777" w:rsidR="0001403A" w:rsidRDefault="0001403A"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1B6B" w14:textId="77777777" w:rsidR="0001403A" w:rsidRDefault="0001403A" w:rsidP="00876767">
      <w:r>
        <w:separator/>
      </w:r>
    </w:p>
  </w:footnote>
  <w:footnote w:type="continuationSeparator" w:id="0">
    <w:p w14:paraId="37C7B177" w14:textId="77777777" w:rsidR="0001403A" w:rsidRDefault="0001403A"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9F5BD0"/>
    <w:multiLevelType w:val="multilevel"/>
    <w:tmpl w:val="2DA8D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823C1"/>
    <w:multiLevelType w:val="hybridMultilevel"/>
    <w:tmpl w:val="C108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315EE8"/>
    <w:multiLevelType w:val="hybridMultilevel"/>
    <w:tmpl w:val="82E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A822D4"/>
    <w:multiLevelType w:val="multilevel"/>
    <w:tmpl w:val="B4EC55D0"/>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D6044B"/>
    <w:multiLevelType w:val="hybridMultilevel"/>
    <w:tmpl w:val="B9569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21168"/>
    <w:multiLevelType w:val="hybridMultilevel"/>
    <w:tmpl w:val="D1F6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381BAE"/>
    <w:multiLevelType w:val="hybridMultilevel"/>
    <w:tmpl w:val="12CE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5711AB"/>
    <w:multiLevelType w:val="hybridMultilevel"/>
    <w:tmpl w:val="DD5CC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337586"/>
    <w:multiLevelType w:val="hybridMultilevel"/>
    <w:tmpl w:val="E540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AC0A71"/>
    <w:multiLevelType w:val="hybridMultilevel"/>
    <w:tmpl w:val="A7584B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BD44B4"/>
    <w:multiLevelType w:val="hybridMultilevel"/>
    <w:tmpl w:val="F184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6"/>
  </w:num>
  <w:num w:numId="4">
    <w:abstractNumId w:val="25"/>
  </w:num>
  <w:num w:numId="5">
    <w:abstractNumId w:val="18"/>
  </w:num>
  <w:num w:numId="6">
    <w:abstractNumId w:val="43"/>
  </w:num>
  <w:num w:numId="7">
    <w:abstractNumId w:val="15"/>
  </w:num>
  <w:num w:numId="8">
    <w:abstractNumId w:val="30"/>
  </w:num>
  <w:num w:numId="9">
    <w:abstractNumId w:val="34"/>
  </w:num>
  <w:num w:numId="10">
    <w:abstractNumId w:val="46"/>
  </w:num>
  <w:num w:numId="11">
    <w:abstractNumId w:val="35"/>
  </w:num>
  <w:num w:numId="12">
    <w:abstractNumId w:val="9"/>
  </w:num>
  <w:num w:numId="13">
    <w:abstractNumId w:val="38"/>
  </w:num>
  <w:num w:numId="14">
    <w:abstractNumId w:val="14"/>
  </w:num>
  <w:num w:numId="15">
    <w:abstractNumId w:val="1"/>
  </w:num>
  <w:num w:numId="16">
    <w:abstractNumId w:val="8"/>
  </w:num>
  <w:num w:numId="17">
    <w:abstractNumId w:val="5"/>
  </w:num>
  <w:num w:numId="18">
    <w:abstractNumId w:val="26"/>
  </w:num>
  <w:num w:numId="19">
    <w:abstractNumId w:val="42"/>
  </w:num>
  <w:num w:numId="20">
    <w:abstractNumId w:val="24"/>
  </w:num>
  <w:num w:numId="21">
    <w:abstractNumId w:val="3"/>
  </w:num>
  <w:num w:numId="22">
    <w:abstractNumId w:val="22"/>
  </w:num>
  <w:num w:numId="23">
    <w:abstractNumId w:val="45"/>
  </w:num>
  <w:num w:numId="24">
    <w:abstractNumId w:val="47"/>
  </w:num>
  <w:num w:numId="25">
    <w:abstractNumId w:val="11"/>
  </w:num>
  <w:num w:numId="26">
    <w:abstractNumId w:val="27"/>
  </w:num>
  <w:num w:numId="27">
    <w:abstractNumId w:val="41"/>
  </w:num>
  <w:num w:numId="28">
    <w:abstractNumId w:val="6"/>
  </w:num>
  <w:num w:numId="29">
    <w:abstractNumId w:val="33"/>
  </w:num>
  <w:num w:numId="30">
    <w:abstractNumId w:val="37"/>
  </w:num>
  <w:num w:numId="31">
    <w:abstractNumId w:val="40"/>
  </w:num>
  <w:num w:numId="32">
    <w:abstractNumId w:val="10"/>
  </w:num>
  <w:num w:numId="33">
    <w:abstractNumId w:val="39"/>
  </w:num>
  <w:num w:numId="34">
    <w:abstractNumId w:val="7"/>
  </w:num>
  <w:num w:numId="35">
    <w:abstractNumId w:val="19"/>
  </w:num>
  <w:num w:numId="36">
    <w:abstractNumId w:val="12"/>
  </w:num>
  <w:num w:numId="37">
    <w:abstractNumId w:val="16"/>
  </w:num>
  <w:num w:numId="38">
    <w:abstractNumId w:val="31"/>
  </w:num>
  <w:num w:numId="39">
    <w:abstractNumId w:val="21"/>
  </w:num>
  <w:num w:numId="40">
    <w:abstractNumId w:val="44"/>
  </w:num>
  <w:num w:numId="41">
    <w:abstractNumId w:val="13"/>
  </w:num>
  <w:num w:numId="42">
    <w:abstractNumId w:val="17"/>
  </w:num>
  <w:num w:numId="43">
    <w:abstractNumId w:val="2"/>
  </w:num>
  <w:num w:numId="44">
    <w:abstractNumId w:val="29"/>
  </w:num>
  <w:num w:numId="45">
    <w:abstractNumId w:val="23"/>
  </w:num>
  <w:num w:numId="46">
    <w:abstractNumId w:val="20"/>
  </w:num>
  <w:num w:numId="47">
    <w:abstractNumId w:val="28"/>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403A"/>
    <w:rsid w:val="000212EC"/>
    <w:rsid w:val="00024CD4"/>
    <w:rsid w:val="00026645"/>
    <w:rsid w:val="00031E68"/>
    <w:rsid w:val="00033D5B"/>
    <w:rsid w:val="000359AB"/>
    <w:rsid w:val="00041988"/>
    <w:rsid w:val="00044CC2"/>
    <w:rsid w:val="000461DE"/>
    <w:rsid w:val="000472B8"/>
    <w:rsid w:val="0005018D"/>
    <w:rsid w:val="00051FB2"/>
    <w:rsid w:val="00052845"/>
    <w:rsid w:val="0005388A"/>
    <w:rsid w:val="00053ADE"/>
    <w:rsid w:val="0005612B"/>
    <w:rsid w:val="000604B8"/>
    <w:rsid w:val="000605BB"/>
    <w:rsid w:val="0006076E"/>
    <w:rsid w:val="000613D3"/>
    <w:rsid w:val="000616D0"/>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44DC"/>
    <w:rsid w:val="0011495B"/>
    <w:rsid w:val="00116822"/>
    <w:rsid w:val="00127219"/>
    <w:rsid w:val="00131BBD"/>
    <w:rsid w:val="0013634C"/>
    <w:rsid w:val="00140849"/>
    <w:rsid w:val="00140BF8"/>
    <w:rsid w:val="001454B7"/>
    <w:rsid w:val="00147208"/>
    <w:rsid w:val="00152611"/>
    <w:rsid w:val="00153258"/>
    <w:rsid w:val="00153773"/>
    <w:rsid w:val="00165EE3"/>
    <w:rsid w:val="00167B8F"/>
    <w:rsid w:val="00175509"/>
    <w:rsid w:val="0017620F"/>
    <w:rsid w:val="001779C8"/>
    <w:rsid w:val="0018293E"/>
    <w:rsid w:val="0018607A"/>
    <w:rsid w:val="00194352"/>
    <w:rsid w:val="00194BBD"/>
    <w:rsid w:val="001963D3"/>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D09D4"/>
    <w:rsid w:val="001D378C"/>
    <w:rsid w:val="001D5CE5"/>
    <w:rsid w:val="001D749D"/>
    <w:rsid w:val="001D754C"/>
    <w:rsid w:val="001E07D4"/>
    <w:rsid w:val="001E4078"/>
    <w:rsid w:val="001E7096"/>
    <w:rsid w:val="001F1032"/>
    <w:rsid w:val="001F14E7"/>
    <w:rsid w:val="001F3E3D"/>
    <w:rsid w:val="001F6A3A"/>
    <w:rsid w:val="00204D67"/>
    <w:rsid w:val="0020560A"/>
    <w:rsid w:val="00205B31"/>
    <w:rsid w:val="00205CF3"/>
    <w:rsid w:val="002121EE"/>
    <w:rsid w:val="002134C9"/>
    <w:rsid w:val="00213801"/>
    <w:rsid w:val="0021507B"/>
    <w:rsid w:val="00225773"/>
    <w:rsid w:val="00231911"/>
    <w:rsid w:val="00232AFD"/>
    <w:rsid w:val="00243A5E"/>
    <w:rsid w:val="00245401"/>
    <w:rsid w:val="00245D45"/>
    <w:rsid w:val="00246369"/>
    <w:rsid w:val="0024642E"/>
    <w:rsid w:val="002468A4"/>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2B33"/>
    <w:rsid w:val="002B3367"/>
    <w:rsid w:val="002B72F3"/>
    <w:rsid w:val="002C0085"/>
    <w:rsid w:val="002C4302"/>
    <w:rsid w:val="002C4EFD"/>
    <w:rsid w:val="002C57AC"/>
    <w:rsid w:val="002D2B50"/>
    <w:rsid w:val="002D31DF"/>
    <w:rsid w:val="002D471A"/>
    <w:rsid w:val="002D51E0"/>
    <w:rsid w:val="002D627F"/>
    <w:rsid w:val="002E770C"/>
    <w:rsid w:val="002E7927"/>
    <w:rsid w:val="002F0EBD"/>
    <w:rsid w:val="002F2028"/>
    <w:rsid w:val="002F4113"/>
    <w:rsid w:val="002F477D"/>
    <w:rsid w:val="002F52C2"/>
    <w:rsid w:val="00305534"/>
    <w:rsid w:val="00307BFB"/>
    <w:rsid w:val="003105DC"/>
    <w:rsid w:val="003121D9"/>
    <w:rsid w:val="0032399B"/>
    <w:rsid w:val="003276F8"/>
    <w:rsid w:val="00333C79"/>
    <w:rsid w:val="0034266A"/>
    <w:rsid w:val="00343AB9"/>
    <w:rsid w:val="0034417B"/>
    <w:rsid w:val="00351A93"/>
    <w:rsid w:val="00353ED0"/>
    <w:rsid w:val="0035494F"/>
    <w:rsid w:val="00354D95"/>
    <w:rsid w:val="00355C38"/>
    <w:rsid w:val="00356A2B"/>
    <w:rsid w:val="00366F52"/>
    <w:rsid w:val="00373D5E"/>
    <w:rsid w:val="0037598C"/>
    <w:rsid w:val="0037727E"/>
    <w:rsid w:val="00383513"/>
    <w:rsid w:val="00383C5F"/>
    <w:rsid w:val="003862B0"/>
    <w:rsid w:val="00396951"/>
    <w:rsid w:val="003A1B92"/>
    <w:rsid w:val="003A299F"/>
    <w:rsid w:val="003A35A7"/>
    <w:rsid w:val="003A52FA"/>
    <w:rsid w:val="003B54E1"/>
    <w:rsid w:val="003C0E4F"/>
    <w:rsid w:val="003C203B"/>
    <w:rsid w:val="003C55E8"/>
    <w:rsid w:val="003D0FB1"/>
    <w:rsid w:val="003D628C"/>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38DC"/>
    <w:rsid w:val="00417FC9"/>
    <w:rsid w:val="0042301A"/>
    <w:rsid w:val="00424681"/>
    <w:rsid w:val="004256E0"/>
    <w:rsid w:val="00430AB1"/>
    <w:rsid w:val="00431CD3"/>
    <w:rsid w:val="00432164"/>
    <w:rsid w:val="00432C68"/>
    <w:rsid w:val="0043338E"/>
    <w:rsid w:val="00433A2B"/>
    <w:rsid w:val="004341F4"/>
    <w:rsid w:val="00435870"/>
    <w:rsid w:val="00436FDC"/>
    <w:rsid w:val="004413A6"/>
    <w:rsid w:val="004414FD"/>
    <w:rsid w:val="00441778"/>
    <w:rsid w:val="00443380"/>
    <w:rsid w:val="00446818"/>
    <w:rsid w:val="00447A3E"/>
    <w:rsid w:val="00452F9F"/>
    <w:rsid w:val="0045346B"/>
    <w:rsid w:val="004548EE"/>
    <w:rsid w:val="004574F7"/>
    <w:rsid w:val="00461B15"/>
    <w:rsid w:val="00462395"/>
    <w:rsid w:val="00465039"/>
    <w:rsid w:val="00470069"/>
    <w:rsid w:val="00475C2B"/>
    <w:rsid w:val="0047783C"/>
    <w:rsid w:val="00482475"/>
    <w:rsid w:val="004829D2"/>
    <w:rsid w:val="00482B6A"/>
    <w:rsid w:val="00484379"/>
    <w:rsid w:val="004850A3"/>
    <w:rsid w:val="00490FB4"/>
    <w:rsid w:val="004936B7"/>
    <w:rsid w:val="004943D6"/>
    <w:rsid w:val="00496D0C"/>
    <w:rsid w:val="004A00DA"/>
    <w:rsid w:val="004A0AFE"/>
    <w:rsid w:val="004A1155"/>
    <w:rsid w:val="004A1CD3"/>
    <w:rsid w:val="004A2E0E"/>
    <w:rsid w:val="004A41EF"/>
    <w:rsid w:val="004A59AE"/>
    <w:rsid w:val="004B2AB6"/>
    <w:rsid w:val="004B2C35"/>
    <w:rsid w:val="004B3124"/>
    <w:rsid w:val="004B5BF1"/>
    <w:rsid w:val="004B5D3D"/>
    <w:rsid w:val="004B74CC"/>
    <w:rsid w:val="004C2BFA"/>
    <w:rsid w:val="004D0D1D"/>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2F54"/>
    <w:rsid w:val="005150C5"/>
    <w:rsid w:val="00517022"/>
    <w:rsid w:val="00517ADD"/>
    <w:rsid w:val="00521C39"/>
    <w:rsid w:val="00521D94"/>
    <w:rsid w:val="00527762"/>
    <w:rsid w:val="00530437"/>
    <w:rsid w:val="00530AB8"/>
    <w:rsid w:val="005363A1"/>
    <w:rsid w:val="0053782C"/>
    <w:rsid w:val="005438BC"/>
    <w:rsid w:val="00544E6A"/>
    <w:rsid w:val="00545552"/>
    <w:rsid w:val="00546289"/>
    <w:rsid w:val="005472C6"/>
    <w:rsid w:val="005479A0"/>
    <w:rsid w:val="00550B73"/>
    <w:rsid w:val="00550F71"/>
    <w:rsid w:val="00551BD7"/>
    <w:rsid w:val="00552AB1"/>
    <w:rsid w:val="00554D3E"/>
    <w:rsid w:val="00556671"/>
    <w:rsid w:val="005619EF"/>
    <w:rsid w:val="005631BF"/>
    <w:rsid w:val="005672B7"/>
    <w:rsid w:val="005737B4"/>
    <w:rsid w:val="005757AA"/>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6F50"/>
    <w:rsid w:val="00647B06"/>
    <w:rsid w:val="006531B1"/>
    <w:rsid w:val="00655521"/>
    <w:rsid w:val="006555CC"/>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14EA"/>
    <w:rsid w:val="006C2364"/>
    <w:rsid w:val="006C55B5"/>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B3CA9"/>
    <w:rsid w:val="007B4E2B"/>
    <w:rsid w:val="007B53E0"/>
    <w:rsid w:val="007C1A91"/>
    <w:rsid w:val="007C4AF6"/>
    <w:rsid w:val="007C6085"/>
    <w:rsid w:val="007D25F9"/>
    <w:rsid w:val="007D617A"/>
    <w:rsid w:val="007D61E0"/>
    <w:rsid w:val="007E1A6B"/>
    <w:rsid w:val="007E4256"/>
    <w:rsid w:val="007E4EE1"/>
    <w:rsid w:val="007E554B"/>
    <w:rsid w:val="007E6FF6"/>
    <w:rsid w:val="007F128C"/>
    <w:rsid w:val="007F4D2C"/>
    <w:rsid w:val="008013DA"/>
    <w:rsid w:val="00803CDF"/>
    <w:rsid w:val="0081056D"/>
    <w:rsid w:val="00812477"/>
    <w:rsid w:val="0081337F"/>
    <w:rsid w:val="008144EA"/>
    <w:rsid w:val="00816C07"/>
    <w:rsid w:val="008273C9"/>
    <w:rsid w:val="00827696"/>
    <w:rsid w:val="00830D5E"/>
    <w:rsid w:val="0083129F"/>
    <w:rsid w:val="00833E28"/>
    <w:rsid w:val="008350CB"/>
    <w:rsid w:val="008355FB"/>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24BF"/>
    <w:rsid w:val="008B684C"/>
    <w:rsid w:val="008B6AA7"/>
    <w:rsid w:val="008B7C80"/>
    <w:rsid w:val="008C0157"/>
    <w:rsid w:val="008C1E1F"/>
    <w:rsid w:val="008C2546"/>
    <w:rsid w:val="008C6AA2"/>
    <w:rsid w:val="008D0789"/>
    <w:rsid w:val="008D4078"/>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EC6"/>
    <w:rsid w:val="009733AB"/>
    <w:rsid w:val="009741FD"/>
    <w:rsid w:val="00974BFE"/>
    <w:rsid w:val="00977119"/>
    <w:rsid w:val="009801C6"/>
    <w:rsid w:val="0098317F"/>
    <w:rsid w:val="00983F09"/>
    <w:rsid w:val="009877D9"/>
    <w:rsid w:val="0099045B"/>
    <w:rsid w:val="009A0340"/>
    <w:rsid w:val="009A55AA"/>
    <w:rsid w:val="009A702F"/>
    <w:rsid w:val="009B0242"/>
    <w:rsid w:val="009B15B5"/>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1036A"/>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D1997"/>
    <w:rsid w:val="00AD7FCE"/>
    <w:rsid w:val="00AE2D24"/>
    <w:rsid w:val="00AE2F3C"/>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25BE"/>
    <w:rsid w:val="00B13615"/>
    <w:rsid w:val="00B23EB7"/>
    <w:rsid w:val="00B27306"/>
    <w:rsid w:val="00B40062"/>
    <w:rsid w:val="00B40718"/>
    <w:rsid w:val="00B411A8"/>
    <w:rsid w:val="00B438E6"/>
    <w:rsid w:val="00B450F2"/>
    <w:rsid w:val="00B533ED"/>
    <w:rsid w:val="00B613B0"/>
    <w:rsid w:val="00B64E0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5D12"/>
    <w:rsid w:val="00BD60CC"/>
    <w:rsid w:val="00BD76CD"/>
    <w:rsid w:val="00BE75A6"/>
    <w:rsid w:val="00BF083E"/>
    <w:rsid w:val="00BF1113"/>
    <w:rsid w:val="00BF44FB"/>
    <w:rsid w:val="00BF6B6D"/>
    <w:rsid w:val="00BF6DEF"/>
    <w:rsid w:val="00C02422"/>
    <w:rsid w:val="00C04914"/>
    <w:rsid w:val="00C15112"/>
    <w:rsid w:val="00C16704"/>
    <w:rsid w:val="00C20CD5"/>
    <w:rsid w:val="00C231D3"/>
    <w:rsid w:val="00C23710"/>
    <w:rsid w:val="00C26C3B"/>
    <w:rsid w:val="00C316D4"/>
    <w:rsid w:val="00C32077"/>
    <w:rsid w:val="00C35F7D"/>
    <w:rsid w:val="00C36296"/>
    <w:rsid w:val="00C36E32"/>
    <w:rsid w:val="00C40398"/>
    <w:rsid w:val="00C42379"/>
    <w:rsid w:val="00C42BA1"/>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74E26"/>
    <w:rsid w:val="00C77E82"/>
    <w:rsid w:val="00C83275"/>
    <w:rsid w:val="00C84FE2"/>
    <w:rsid w:val="00C85A29"/>
    <w:rsid w:val="00C86492"/>
    <w:rsid w:val="00C8742A"/>
    <w:rsid w:val="00C91611"/>
    <w:rsid w:val="00C91F93"/>
    <w:rsid w:val="00C9436D"/>
    <w:rsid w:val="00C94B85"/>
    <w:rsid w:val="00C955A3"/>
    <w:rsid w:val="00CA1C07"/>
    <w:rsid w:val="00CA33F1"/>
    <w:rsid w:val="00CB2D14"/>
    <w:rsid w:val="00CB3368"/>
    <w:rsid w:val="00CB3B61"/>
    <w:rsid w:val="00CB3B6C"/>
    <w:rsid w:val="00CB6AE4"/>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220B"/>
    <w:rsid w:val="00DD47E0"/>
    <w:rsid w:val="00DD7B10"/>
    <w:rsid w:val="00DE0648"/>
    <w:rsid w:val="00DE3E8D"/>
    <w:rsid w:val="00DE663A"/>
    <w:rsid w:val="00DF20EF"/>
    <w:rsid w:val="00DF26C5"/>
    <w:rsid w:val="00DF59FF"/>
    <w:rsid w:val="00DF6C19"/>
    <w:rsid w:val="00E01ED8"/>
    <w:rsid w:val="00E026D2"/>
    <w:rsid w:val="00E03157"/>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4"/>
    <w:rsid w:val="00E95717"/>
    <w:rsid w:val="00EA04A3"/>
    <w:rsid w:val="00EA0CF3"/>
    <w:rsid w:val="00EA0F69"/>
    <w:rsid w:val="00EA26D6"/>
    <w:rsid w:val="00EA28C3"/>
    <w:rsid w:val="00EA524A"/>
    <w:rsid w:val="00EA5A07"/>
    <w:rsid w:val="00EA73C1"/>
    <w:rsid w:val="00EB3C5A"/>
    <w:rsid w:val="00EB54F6"/>
    <w:rsid w:val="00EB7E5B"/>
    <w:rsid w:val="00EB7EBE"/>
    <w:rsid w:val="00EC0F55"/>
    <w:rsid w:val="00EC134A"/>
    <w:rsid w:val="00EC1B12"/>
    <w:rsid w:val="00EC1B77"/>
    <w:rsid w:val="00EC2A35"/>
    <w:rsid w:val="00EC3AA5"/>
    <w:rsid w:val="00EC48A7"/>
    <w:rsid w:val="00EC5DED"/>
    <w:rsid w:val="00ED09BE"/>
    <w:rsid w:val="00ED1CC5"/>
    <w:rsid w:val="00ED41DB"/>
    <w:rsid w:val="00ED6081"/>
    <w:rsid w:val="00EE18CC"/>
    <w:rsid w:val="00EE635F"/>
    <w:rsid w:val="00EF4B64"/>
    <w:rsid w:val="00EF7114"/>
    <w:rsid w:val="00EF7533"/>
    <w:rsid w:val="00EF7A4E"/>
    <w:rsid w:val="00F05BCC"/>
    <w:rsid w:val="00F0625A"/>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2ACE"/>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3FD9"/>
    <w:rsid w:val="00FA48C3"/>
    <w:rsid w:val="00FA4934"/>
    <w:rsid w:val="00FB2362"/>
    <w:rsid w:val="00FB57A3"/>
    <w:rsid w:val="00FC6C0B"/>
    <w:rsid w:val="00FD0FB1"/>
    <w:rsid w:val="00FD5688"/>
    <w:rsid w:val="00FD714E"/>
    <w:rsid w:val="00FE0066"/>
    <w:rsid w:val="00FE11B1"/>
    <w:rsid w:val="00FE43C2"/>
    <w:rsid w:val="00FE61B6"/>
    <w:rsid w:val="00FF005B"/>
    <w:rsid w:val="00FF1928"/>
    <w:rsid w:val="00FF3CB7"/>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B2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9"/>
      </w:numPr>
      <w:tabs>
        <w:tab w:val="left" w:pos="851"/>
      </w:tabs>
      <w:overflowPunct w:val="0"/>
      <w:autoSpaceDE w:val="0"/>
      <w:autoSpaceDN w:val="0"/>
      <w:adjustRightInd w:val="0"/>
      <w:spacing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10"/>
      </w:numPr>
      <w:overflowPunct w:val="0"/>
      <w:autoSpaceDE w:val="0"/>
      <w:autoSpaceDN w:val="0"/>
      <w:adjustRightInd w:val="0"/>
      <w:textAlignment w:val="baseline"/>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4</cp:revision>
  <cp:lastPrinted>2022-01-10T18:33:00Z</cp:lastPrinted>
  <dcterms:created xsi:type="dcterms:W3CDTF">2022-02-10T23:10:00Z</dcterms:created>
  <dcterms:modified xsi:type="dcterms:W3CDTF">2022-02-11T00:14:00Z</dcterms:modified>
</cp:coreProperties>
</file>